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3EDA6" w14:textId="2D2CC226" w:rsidR="00E57111" w:rsidRPr="0066760D" w:rsidRDefault="00D223B3" w:rsidP="00BF35B7">
      <w:pPr>
        <w:pStyle w:val="Nagwek1"/>
        <w:spacing w:before="100" w:beforeAutospacing="1"/>
        <w:sectPr w:rsidR="00E57111" w:rsidRPr="0066760D" w:rsidSect="00AD61B2">
          <w:footerReference w:type="default" r:id="rId8"/>
          <w:footerReference w:type="first" r:id="rId9"/>
          <w:pgSz w:w="11906" w:h="16838"/>
          <w:pgMar w:top="737" w:right="1418" w:bottom="1418" w:left="1021" w:header="708" w:footer="708" w:gutter="0"/>
          <w:cols w:space="708"/>
          <w:titlePg/>
          <w:docGrid w:linePitch="360"/>
        </w:sectPr>
      </w:pPr>
      <w:r>
        <w:rPr>
          <w:noProof/>
          <w:lang w:eastAsia="pl-PL"/>
        </w:rPr>
        <w:drawing>
          <wp:inline distT="0" distB="0" distL="0" distR="0" wp14:anchorId="3BF80077" wp14:editId="34369632">
            <wp:extent cx="2816358" cy="615697"/>
            <wp:effectExtent l="0" t="0" r="3175" b="0"/>
            <wp:docPr id="5" name="Obraz 5" descr="Herb podzielony pionowo: po lewej biały gryf na czerwonym tle, po prawej złoty lew na niebieskim tle; oba zwierzęta koronowane, nad nimi biały krzyż o rozszerzonych ramionach. Na prawo napis, jeden pod drugim: Marszałek Województwa Podkarpackiego. Dane kontaktowe urzędu dostępne na www.podkarpackie.p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04 marszałek nagłówek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6358" cy="615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E65B6" w14:textId="5D973225" w:rsidR="00CF1B3B" w:rsidRDefault="00CF1B3B" w:rsidP="0026074C">
      <w:pPr>
        <w:pStyle w:val="Normalny-Data"/>
        <w:ind w:left="5891"/>
        <w:jc w:val="left"/>
      </w:pPr>
      <w:r w:rsidRPr="00CF1B3B">
        <w:t>Rzeszów</w:t>
      </w:r>
      <w:r w:rsidR="00210029">
        <w:t>,</w:t>
      </w:r>
      <w:r w:rsidR="004C40A0">
        <w:t xml:space="preserve"> </w:t>
      </w:r>
      <w:r w:rsidR="00EB37BC">
        <w:t>2026-05-</w:t>
      </w:r>
      <w:r w:rsidR="00FD2489">
        <w:t>06</w:t>
      </w:r>
    </w:p>
    <w:p w14:paraId="4383B7A4" w14:textId="0566358A" w:rsidR="00876842" w:rsidRPr="00A20E56" w:rsidRDefault="004C40A0" w:rsidP="005A2D12">
      <w:pPr>
        <w:pStyle w:val="Normalny-Znaksprawy2"/>
        <w:ind w:left="0"/>
      </w:pPr>
      <w:r>
        <w:t>OS-XI.720.</w:t>
      </w:r>
      <w:r w:rsidR="007546D4">
        <w:t>2.</w:t>
      </w:r>
      <w:r w:rsidR="00210029">
        <w:t>2026.AP</w:t>
      </w:r>
    </w:p>
    <w:p w14:paraId="18AC02B5" w14:textId="77777777" w:rsidR="00E76656" w:rsidRPr="00E76656" w:rsidRDefault="00E76656" w:rsidP="005A2D12">
      <w:pPr>
        <w:spacing w:before="480"/>
        <w:jc w:val="center"/>
        <w:rPr>
          <w:b/>
        </w:rPr>
      </w:pPr>
      <w:r w:rsidRPr="00E76656">
        <w:rPr>
          <w:b/>
        </w:rPr>
        <w:t>DECYZJA</w:t>
      </w:r>
    </w:p>
    <w:p w14:paraId="15C2B6A4" w14:textId="77777777" w:rsidR="00EB37BC" w:rsidRDefault="00E76656" w:rsidP="00EB37BC">
      <w:pPr>
        <w:spacing w:after="0"/>
      </w:pPr>
      <w:r>
        <w:t>Na podstawie</w:t>
      </w:r>
      <w:r w:rsidR="00EB37BC">
        <w:t>:</w:t>
      </w:r>
    </w:p>
    <w:p w14:paraId="79A94209" w14:textId="416AEA59" w:rsidR="00EB37BC" w:rsidRDefault="00E76656" w:rsidP="00EB37BC">
      <w:pPr>
        <w:pStyle w:val="Akapitzlist"/>
        <w:numPr>
          <w:ilvl w:val="0"/>
          <w:numId w:val="26"/>
        </w:numPr>
      </w:pPr>
      <w:r>
        <w:t>art. 34 ust.1, ust. 5 ustawy z dnia 6 marca 2018 r. Prawo przedsiębiorców (t.j.</w:t>
      </w:r>
      <w:r w:rsidR="00EB37BC">
        <w:t> </w:t>
      </w:r>
      <w:r>
        <w:t>Dz.</w:t>
      </w:r>
      <w:r w:rsidR="00D15EEB">
        <w:t xml:space="preserve"> </w:t>
      </w:r>
      <w:r>
        <w:t>U. z 2025 r. poz.1480</w:t>
      </w:r>
      <w:r w:rsidR="00DA5216">
        <w:t xml:space="preserve"> </w:t>
      </w:r>
      <w:r w:rsidR="00DA5216" w:rsidRPr="00DA5216">
        <w:t>z późn. zm.</w:t>
      </w:r>
      <w:r>
        <w:t>)</w:t>
      </w:r>
      <w:r w:rsidR="005A2D12">
        <w:t>,</w:t>
      </w:r>
      <w:r>
        <w:t xml:space="preserve"> </w:t>
      </w:r>
    </w:p>
    <w:p w14:paraId="4A8A64BD" w14:textId="3DAD2F83" w:rsidR="00EB37BC" w:rsidRDefault="00E76656" w:rsidP="00EB37BC">
      <w:pPr>
        <w:pStyle w:val="Akapitzlist"/>
        <w:numPr>
          <w:ilvl w:val="0"/>
          <w:numId w:val="26"/>
        </w:numPr>
      </w:pPr>
      <w:r>
        <w:t>art. 8 pkt. 21b i art. 34 ust. 2c - 2f ustawy z dnia 13 czerwca 2013 r. o</w:t>
      </w:r>
      <w:r w:rsidR="00EB37BC">
        <w:t> </w:t>
      </w:r>
      <w:r>
        <w:t>gospodarce opakowaniami i odpadami opakowaniowymi (t.j. Dz.</w:t>
      </w:r>
      <w:r w:rsidR="00D15EEB">
        <w:t xml:space="preserve"> </w:t>
      </w:r>
      <w:r>
        <w:t>U. z 2025 r. poz. 870</w:t>
      </w:r>
      <w:r w:rsidR="00D15EEB">
        <w:t xml:space="preserve"> </w:t>
      </w:r>
      <w:r w:rsidR="00D15EEB" w:rsidRPr="00D15EEB">
        <w:t>z późn. zm.</w:t>
      </w:r>
      <w:r>
        <w:t>)</w:t>
      </w:r>
      <w:r w:rsidR="005A2D12">
        <w:t>,</w:t>
      </w:r>
      <w:r>
        <w:t xml:space="preserve"> </w:t>
      </w:r>
    </w:p>
    <w:p w14:paraId="2DF4B16A" w14:textId="77777777" w:rsidR="00EB37BC" w:rsidRDefault="00E76656" w:rsidP="00EB37BC">
      <w:pPr>
        <w:pStyle w:val="Akapitzlist"/>
        <w:numPr>
          <w:ilvl w:val="0"/>
          <w:numId w:val="26"/>
        </w:numPr>
      </w:pPr>
      <w:r>
        <w:t xml:space="preserve">art.104 ustawy z dnia 14 czerwca 1960 r. Kodeks Postępowania administracyjnego (t.j. Dz. U. z 2025 r. poz. 1691) </w:t>
      </w:r>
    </w:p>
    <w:p w14:paraId="20DD1BD5" w14:textId="3806B548" w:rsidR="007546D4" w:rsidRDefault="00E76656" w:rsidP="00EB37BC">
      <w:r>
        <w:t xml:space="preserve">po rozpatrzeniu wniosku </w:t>
      </w:r>
      <w:r w:rsidR="00867352">
        <w:t xml:space="preserve">X </w:t>
      </w:r>
      <w:r>
        <w:t xml:space="preserve">, reprezentowanej przez pełnomocnika Pana </w:t>
      </w:r>
      <w:r w:rsidR="00867352">
        <w:t>X</w:t>
      </w:r>
      <w:r>
        <w:t>,</w:t>
      </w:r>
    </w:p>
    <w:p w14:paraId="05A92739" w14:textId="13E3537A" w:rsidR="007546D4" w:rsidRDefault="007546D4" w:rsidP="007546D4">
      <w:pPr>
        <w:jc w:val="center"/>
        <w:rPr>
          <w:b/>
        </w:rPr>
      </w:pPr>
      <w:r>
        <w:rPr>
          <w:b/>
        </w:rPr>
        <w:t>orzekam</w:t>
      </w:r>
    </w:p>
    <w:p w14:paraId="3507C1AD" w14:textId="5F84671F" w:rsidR="00444799" w:rsidRPr="00EB37BC" w:rsidRDefault="007546D4" w:rsidP="00EB37BC">
      <w:pPr>
        <w:tabs>
          <w:tab w:val="left" w:pos="567"/>
          <w:tab w:val="left" w:pos="709"/>
          <w:tab w:val="left" w:pos="851"/>
        </w:tabs>
        <w:contextualSpacing/>
        <w:rPr>
          <w:rFonts w:eastAsia="Calibri" w:cs="Arial"/>
        </w:rPr>
      </w:pPr>
      <w:r>
        <w:rPr>
          <w:rFonts w:eastAsia="Calibri" w:cs="Arial"/>
          <w:b/>
          <w:color w:val="000000"/>
        </w:rPr>
        <w:t xml:space="preserve">uznaję </w:t>
      </w:r>
      <w:r w:rsidRPr="00E810CE">
        <w:rPr>
          <w:rFonts w:eastAsia="Calibri" w:cs="Arial"/>
          <w:color w:val="000000"/>
        </w:rPr>
        <w:t>za prawidłowe</w:t>
      </w:r>
      <w:r>
        <w:rPr>
          <w:rFonts w:eastAsia="Calibri" w:cs="Arial"/>
          <w:b/>
          <w:color w:val="000000"/>
        </w:rPr>
        <w:t xml:space="preserve"> </w:t>
      </w:r>
      <w:r w:rsidRPr="001734CE">
        <w:rPr>
          <w:rFonts w:eastAsia="Calibri" w:cs="Arial"/>
          <w:color w:val="000000"/>
        </w:rPr>
        <w:t>stanowisko</w:t>
      </w:r>
      <w:r>
        <w:rPr>
          <w:rFonts w:eastAsia="Calibri" w:cs="Arial"/>
          <w:b/>
          <w:color w:val="000000"/>
        </w:rPr>
        <w:t xml:space="preserve"> </w:t>
      </w:r>
      <w:r>
        <w:rPr>
          <w:rFonts w:eastAsia="Calibri" w:cs="Arial"/>
          <w:color w:val="000000"/>
        </w:rPr>
        <w:t xml:space="preserve">przedstawione przez </w:t>
      </w:r>
      <w:r w:rsidR="00867352">
        <w:rPr>
          <w:rFonts w:eastAsia="Calibri" w:cs="Arial"/>
          <w:color w:val="000000"/>
        </w:rPr>
        <w:t>X</w:t>
      </w:r>
      <w:r>
        <w:rPr>
          <w:rFonts w:eastAsia="Calibri" w:cs="Arial"/>
          <w:color w:val="000000"/>
        </w:rPr>
        <w:t xml:space="preserve">, w sprawie </w:t>
      </w:r>
      <w:r w:rsidRPr="00A2671E">
        <w:rPr>
          <w:rFonts w:eastAsia="Calibri" w:cs="Arial"/>
        </w:rPr>
        <w:t xml:space="preserve">stosowania przepisów ustawy o gospodarce opakowaniami i odpadami opakowaniowymi </w:t>
      </w:r>
      <w:r w:rsidR="00B46B6D">
        <w:rPr>
          <w:rFonts w:eastAsia="Calibri" w:cs="Arial"/>
        </w:rPr>
        <w:t>w</w:t>
      </w:r>
      <w:r w:rsidR="00867352">
        <w:rPr>
          <w:rFonts w:eastAsia="Calibri" w:cs="Arial"/>
        </w:rPr>
        <w:t> </w:t>
      </w:r>
      <w:r w:rsidR="00B46B6D">
        <w:rPr>
          <w:rFonts w:eastAsia="Calibri" w:cs="Arial"/>
        </w:rPr>
        <w:t>sprawie dotyczącej ustalenia czy w sytuacji gdy spółka zawrze umowę z</w:t>
      </w:r>
      <w:r w:rsidR="00867352">
        <w:rPr>
          <w:rFonts w:eastAsia="Calibri" w:cs="Arial"/>
        </w:rPr>
        <w:t> </w:t>
      </w:r>
      <w:r w:rsidR="00B46B6D">
        <w:rPr>
          <w:rFonts w:eastAsia="Calibri" w:cs="Arial"/>
        </w:rPr>
        <w:t>Operatorem w trakcie roku kalendarzowego</w:t>
      </w:r>
      <w:r w:rsidR="00B67908">
        <w:rPr>
          <w:rFonts w:eastAsia="Calibri" w:cs="Arial"/>
        </w:rPr>
        <w:t>, a jednocześnie nie osiągnie poziomu selektywnego zbierania opakowań i odpadów opakowaniowych, o którym mowa w</w:t>
      </w:r>
      <w:r w:rsidR="00867352">
        <w:rPr>
          <w:rFonts w:eastAsia="Calibri" w:cs="Arial"/>
        </w:rPr>
        <w:t> </w:t>
      </w:r>
      <w:r w:rsidR="00B67908">
        <w:rPr>
          <w:rFonts w:eastAsia="Calibri" w:cs="Arial"/>
        </w:rPr>
        <w:t>art. 21a ust. 1 ww. ustawy, opłata produktowa powinna zostać ustalona zgodnie z</w:t>
      </w:r>
      <w:r w:rsidR="00867352">
        <w:rPr>
          <w:rFonts w:eastAsia="Calibri" w:cs="Arial"/>
        </w:rPr>
        <w:t> </w:t>
      </w:r>
      <w:r w:rsidR="00B67908">
        <w:rPr>
          <w:rFonts w:eastAsia="Calibri" w:cs="Arial"/>
        </w:rPr>
        <w:t>art. 34 ust. 2e ustawy opakowaniowej w odniesieniu do całego okresu rozliczeniowego ustalanego zgodnie z art. 34 ust.1 ww. ustawy tj. roku kalendarzowego w którym spółka zawarła umowę z Operatorem.</w:t>
      </w:r>
    </w:p>
    <w:p w14:paraId="637B71A9" w14:textId="77777777" w:rsidR="005A2D12" w:rsidRDefault="005A2D12" w:rsidP="00444799">
      <w:pPr>
        <w:jc w:val="center"/>
        <w:rPr>
          <w:b/>
        </w:rPr>
      </w:pPr>
    </w:p>
    <w:p w14:paraId="33593AAC" w14:textId="77777777" w:rsidR="005A2D12" w:rsidRDefault="005A2D12" w:rsidP="00444799">
      <w:pPr>
        <w:jc w:val="center"/>
        <w:rPr>
          <w:b/>
        </w:rPr>
      </w:pPr>
    </w:p>
    <w:p w14:paraId="6782C4D0" w14:textId="11C450B7" w:rsidR="00444799" w:rsidRDefault="00444799" w:rsidP="00444799">
      <w:pPr>
        <w:jc w:val="center"/>
        <w:rPr>
          <w:b/>
        </w:rPr>
      </w:pPr>
      <w:r>
        <w:rPr>
          <w:b/>
        </w:rPr>
        <w:lastRenderedPageBreak/>
        <w:t>UZASADNIENIE</w:t>
      </w:r>
    </w:p>
    <w:p w14:paraId="1BFE04DB" w14:textId="2A6AC869" w:rsidR="00CE3810" w:rsidRPr="00A85C00" w:rsidRDefault="003F4F4A" w:rsidP="003F4F4A">
      <w:pPr>
        <w:tabs>
          <w:tab w:val="left" w:pos="567"/>
          <w:tab w:val="left" w:pos="709"/>
          <w:tab w:val="left" w:pos="851"/>
        </w:tabs>
        <w:contextualSpacing/>
        <w:rPr>
          <w:rFonts w:eastAsia="Calibri" w:cs="Arial"/>
        </w:rPr>
      </w:pPr>
      <w:r>
        <w:rPr>
          <w:rFonts w:eastAsia="Calibri" w:cs="Arial"/>
        </w:rPr>
        <w:t>Pismem z dnia 08</w:t>
      </w:r>
      <w:r w:rsidRPr="003F4F4A">
        <w:rPr>
          <w:rFonts w:eastAsia="Calibri" w:cs="Arial"/>
        </w:rPr>
        <w:t>.</w:t>
      </w:r>
      <w:r>
        <w:rPr>
          <w:rFonts w:eastAsia="Calibri" w:cs="Arial"/>
        </w:rPr>
        <w:t>04</w:t>
      </w:r>
      <w:r w:rsidRPr="003F4F4A">
        <w:rPr>
          <w:rFonts w:eastAsia="Calibri" w:cs="Arial"/>
        </w:rPr>
        <w:t>.202</w:t>
      </w:r>
      <w:r>
        <w:rPr>
          <w:rFonts w:eastAsia="Calibri" w:cs="Arial"/>
        </w:rPr>
        <w:t>6</w:t>
      </w:r>
      <w:r w:rsidRPr="003F4F4A">
        <w:rPr>
          <w:rFonts w:eastAsia="Calibri" w:cs="Arial"/>
        </w:rPr>
        <w:t xml:space="preserve"> r. (data wpływu do Kancelarii Ogólnej </w:t>
      </w:r>
      <w:r>
        <w:rPr>
          <w:rFonts w:eastAsia="Calibri" w:cs="Arial"/>
        </w:rPr>
        <w:t>10</w:t>
      </w:r>
      <w:r w:rsidRPr="003F4F4A">
        <w:rPr>
          <w:rFonts w:eastAsia="Calibri" w:cs="Arial"/>
        </w:rPr>
        <w:t>.</w:t>
      </w:r>
      <w:r>
        <w:rPr>
          <w:rFonts w:eastAsia="Calibri" w:cs="Arial"/>
        </w:rPr>
        <w:t>04</w:t>
      </w:r>
      <w:r w:rsidRPr="003F4F4A">
        <w:rPr>
          <w:rFonts w:eastAsia="Calibri" w:cs="Arial"/>
        </w:rPr>
        <w:t>.202</w:t>
      </w:r>
      <w:r>
        <w:rPr>
          <w:rFonts w:eastAsia="Calibri" w:cs="Arial"/>
        </w:rPr>
        <w:t>6</w:t>
      </w:r>
      <w:r w:rsidRPr="003F4F4A">
        <w:rPr>
          <w:rFonts w:eastAsia="Calibri" w:cs="Arial"/>
        </w:rPr>
        <w:t xml:space="preserve"> r.) pełnomocnik Pan </w:t>
      </w:r>
      <w:r w:rsidR="00867352">
        <w:rPr>
          <w:rFonts w:eastAsia="Calibri" w:cs="Arial"/>
        </w:rPr>
        <w:t>X</w:t>
      </w:r>
      <w:r w:rsidRPr="003F4F4A">
        <w:rPr>
          <w:rFonts w:eastAsia="Calibri" w:cs="Arial"/>
        </w:rPr>
        <w:t xml:space="preserve"> złożył w imieniu </w:t>
      </w:r>
      <w:r w:rsidR="00867352">
        <w:rPr>
          <w:rFonts w:eastAsia="Calibri" w:cs="Arial"/>
        </w:rPr>
        <w:t>X</w:t>
      </w:r>
      <w:r w:rsidRPr="003F4F4A">
        <w:rPr>
          <w:rFonts w:eastAsia="Calibri" w:cs="Arial"/>
        </w:rPr>
        <w:t>, wniosek o wydanie interpretacji indywidualnej co do zakresu i sposobu stosowania przepisów ustawy o gospodarce opakowaniami i</w:t>
      </w:r>
      <w:r w:rsidR="00867352">
        <w:rPr>
          <w:rFonts w:eastAsia="Calibri" w:cs="Arial"/>
        </w:rPr>
        <w:t> </w:t>
      </w:r>
      <w:r w:rsidRPr="003F4F4A">
        <w:rPr>
          <w:rFonts w:eastAsia="Calibri" w:cs="Arial"/>
        </w:rPr>
        <w:t>odpadami opakowaniowymi</w:t>
      </w:r>
      <w:r w:rsidR="00A85C00">
        <w:rPr>
          <w:rFonts w:eastAsia="Calibri" w:cs="Arial"/>
        </w:rPr>
        <w:t xml:space="preserve"> w sytuacji zawarcia umowy z podmiotem reprezentującym w trakcie roku kalendarzowego.</w:t>
      </w:r>
      <w:r w:rsidRPr="003F4F4A">
        <w:rPr>
          <w:rFonts w:eastAsia="Calibri" w:cs="Arial"/>
        </w:rPr>
        <w:t xml:space="preserve"> Do wniosku zostało załączone pełnomocnictwo oraz potwierdzenie uiszczenia opłaty skarbowej od jego udzielenia oraz potwierdzenie uiszczenia opłaty za wydanie decyzji interpretacyjnej, zgodnie z</w:t>
      </w:r>
      <w:r w:rsidR="00867352">
        <w:rPr>
          <w:rFonts w:eastAsia="Calibri" w:cs="Arial"/>
        </w:rPr>
        <w:t> </w:t>
      </w:r>
      <w:r w:rsidRPr="003F4F4A">
        <w:rPr>
          <w:rFonts w:eastAsia="Calibri" w:cs="Arial"/>
        </w:rPr>
        <w:t>art. 34 ust.6 Prawo przedsiębiorców.</w:t>
      </w:r>
      <w:r w:rsidR="003F0E37">
        <w:rPr>
          <w:rFonts w:eastAsia="Calibri" w:cs="Arial"/>
        </w:rPr>
        <w:t xml:space="preserve"> </w:t>
      </w:r>
      <w:r w:rsidR="003F0E37" w:rsidRPr="00EA2412">
        <w:rPr>
          <w:rFonts w:eastAsia="Calibri" w:cs="Arial"/>
          <w:color w:val="000000"/>
        </w:rPr>
        <w:t xml:space="preserve">W świetle </w:t>
      </w:r>
      <w:r w:rsidR="003F0E37">
        <w:rPr>
          <w:rFonts w:eastAsia="Calibri" w:cs="Arial"/>
          <w:color w:val="000000"/>
        </w:rPr>
        <w:t>przedstawionego poniżej stanu faktycznego, Wnioskodawca powziął wątpliwość, czy w sytuacji gdy zawrze umowę z</w:t>
      </w:r>
      <w:r w:rsidR="00867352">
        <w:rPr>
          <w:rFonts w:eastAsia="Calibri" w:cs="Arial"/>
          <w:color w:val="000000"/>
        </w:rPr>
        <w:t> </w:t>
      </w:r>
      <w:r w:rsidR="003F0E37">
        <w:rPr>
          <w:rFonts w:eastAsia="Calibri" w:cs="Arial"/>
          <w:color w:val="000000"/>
        </w:rPr>
        <w:t>podmiotem reprezentującym</w:t>
      </w:r>
      <w:r w:rsidR="00D14862">
        <w:rPr>
          <w:rFonts w:eastAsia="Calibri" w:cs="Arial"/>
          <w:color w:val="000000"/>
        </w:rPr>
        <w:t>,</w:t>
      </w:r>
      <w:r w:rsidR="003F0E37">
        <w:rPr>
          <w:rFonts w:eastAsia="Calibri" w:cs="Arial"/>
          <w:color w:val="000000"/>
        </w:rPr>
        <w:t xml:space="preserve"> prowadzącym system kaucyjny w trakcie roku kalendarzowego (np. z dniem 1 maja danego roku), a jednocześnie nie osiągnie poziomu selektywnego zbierania opakowań i odpadów opakowaniowych, o którym mowa w art. 21a ust. 1 ustawy  </w:t>
      </w:r>
      <w:r w:rsidR="003F0E37">
        <w:t>o</w:t>
      </w:r>
      <w:r w:rsidR="00A85C00">
        <w:t> </w:t>
      </w:r>
      <w:r w:rsidR="003F0E37">
        <w:t xml:space="preserve">gospodarce opakowaniami i odpadami opakowaniowymi w roku w którym przystąpił do tego systemu, to czy opłata produktowa powinna zostać ustalona zgodnie z art. 34 ust. </w:t>
      </w:r>
      <w:r w:rsidR="00CE3810">
        <w:t>2e</w:t>
      </w:r>
      <w:r w:rsidR="003F0E37">
        <w:t xml:space="preserve">  ww. ustawy, </w:t>
      </w:r>
      <w:r w:rsidR="00CE3810">
        <w:t xml:space="preserve"> w</w:t>
      </w:r>
      <w:r w:rsidR="00867352">
        <w:t> </w:t>
      </w:r>
      <w:r w:rsidR="00CE3810">
        <w:t>odniesieniu do całego okresu rozliczeniowego ustalanego zgodnie z art. 34 ust. 1</w:t>
      </w:r>
      <w:r w:rsidR="00867352">
        <w:t> </w:t>
      </w:r>
      <w:r w:rsidR="00CE3810">
        <w:t xml:space="preserve">ww. ustawy </w:t>
      </w:r>
      <w:r w:rsidR="003F0E37">
        <w:t>tj. roku kalendarzowego w którym  wnioskodawca zawarł umowę z operatorem.</w:t>
      </w:r>
    </w:p>
    <w:p w14:paraId="544EF146" w14:textId="77777777" w:rsidR="00CE3810" w:rsidRDefault="00CE3810" w:rsidP="003F4F4A">
      <w:pPr>
        <w:tabs>
          <w:tab w:val="left" w:pos="567"/>
          <w:tab w:val="left" w:pos="709"/>
          <w:tab w:val="left" w:pos="851"/>
        </w:tabs>
        <w:contextualSpacing/>
        <w:rPr>
          <w:rFonts w:eastAsia="Calibri" w:cs="Arial"/>
          <w:b/>
        </w:rPr>
      </w:pPr>
      <w:r>
        <w:rPr>
          <w:rFonts w:eastAsia="Calibri" w:cs="Arial"/>
          <w:b/>
        </w:rPr>
        <w:t>Opis stanu faktycznego:</w:t>
      </w:r>
    </w:p>
    <w:p w14:paraId="343806BE" w14:textId="1C837455" w:rsidR="00617626" w:rsidRDefault="00D30C6F" w:rsidP="00617626">
      <w:pPr>
        <w:tabs>
          <w:tab w:val="left" w:pos="567"/>
          <w:tab w:val="left" w:pos="709"/>
          <w:tab w:val="left" w:pos="851"/>
        </w:tabs>
        <w:spacing w:after="0"/>
        <w:contextualSpacing/>
        <w:rPr>
          <w:rFonts w:eastAsia="Calibri" w:cs="Arial"/>
          <w:color w:val="000000"/>
        </w:rPr>
      </w:pPr>
      <w:r w:rsidRPr="00F61EA9">
        <w:rPr>
          <w:rFonts w:eastAsia="Calibri" w:cs="Arial"/>
          <w:color w:val="000000"/>
        </w:rPr>
        <w:t xml:space="preserve">Wnioskodawca </w:t>
      </w:r>
      <w:r>
        <w:rPr>
          <w:rFonts w:eastAsia="Calibri" w:cs="Arial"/>
          <w:color w:val="000000"/>
        </w:rPr>
        <w:t>tj. spółka prawa handlowego z siedzibą w Polsce jest przedsiębiorcą prowadzącym działalność gospodarczą w zakresie produkcji piwa oraz innych napojów alkoholowych i bezalkoholowych.</w:t>
      </w:r>
      <w:r w:rsidR="00617626">
        <w:rPr>
          <w:rFonts w:eastAsia="Calibri" w:cs="Arial"/>
          <w:color w:val="000000"/>
        </w:rPr>
        <w:t xml:space="preserve"> Spółka została zarejestrowana w</w:t>
      </w:r>
      <w:r w:rsidR="004E6E24">
        <w:rPr>
          <w:rFonts w:eastAsia="Calibri" w:cs="Arial"/>
          <w:color w:val="000000"/>
        </w:rPr>
        <w:t> </w:t>
      </w:r>
      <w:r w:rsidR="00617626">
        <w:rPr>
          <w:rFonts w:eastAsia="Calibri" w:cs="Arial"/>
          <w:color w:val="000000"/>
        </w:rPr>
        <w:t>Rejestrze Przedsiębiorców Krajowego Rejestru Sądowego i działa zgodnie z</w:t>
      </w:r>
      <w:r w:rsidR="004E6E24">
        <w:rPr>
          <w:rFonts w:eastAsia="Calibri" w:cs="Arial"/>
          <w:color w:val="000000"/>
        </w:rPr>
        <w:t> </w:t>
      </w:r>
      <w:r w:rsidR="00617626">
        <w:rPr>
          <w:rFonts w:eastAsia="Calibri" w:cs="Arial"/>
          <w:color w:val="000000"/>
        </w:rPr>
        <w:t>przepisami prawa polskiego. W ramach prowadzonej działalności Spółka wprowadza napoje w trzech rodzajach opakowań objętych systemem kaucyjnym w</w:t>
      </w:r>
      <w:r w:rsidR="004E6E24">
        <w:rPr>
          <w:rFonts w:eastAsia="Calibri" w:cs="Arial"/>
          <w:color w:val="000000"/>
        </w:rPr>
        <w:t> </w:t>
      </w:r>
      <w:r w:rsidR="00617626">
        <w:rPr>
          <w:rFonts w:eastAsia="Calibri" w:cs="Arial"/>
          <w:color w:val="000000"/>
        </w:rPr>
        <w:t xml:space="preserve">rozumieniu ustawy o </w:t>
      </w:r>
      <w:r w:rsidR="00617626" w:rsidRPr="00617626">
        <w:rPr>
          <w:rFonts w:eastAsia="Calibri" w:cs="Arial"/>
          <w:color w:val="000000"/>
        </w:rPr>
        <w:t>gospodarce opakowaniami i odpadami opakowaniowymi</w:t>
      </w:r>
      <w:r w:rsidR="00617626">
        <w:rPr>
          <w:rFonts w:eastAsia="Calibri" w:cs="Arial"/>
          <w:color w:val="000000"/>
        </w:rPr>
        <w:t xml:space="preserve"> tj.:</w:t>
      </w:r>
    </w:p>
    <w:p w14:paraId="2846E82B" w14:textId="1981601B" w:rsidR="004E6E24" w:rsidRPr="004E6E24" w:rsidRDefault="004E6E24" w:rsidP="004E6E24">
      <w:pPr>
        <w:pStyle w:val="Akapitzlist"/>
        <w:numPr>
          <w:ilvl w:val="0"/>
          <w:numId w:val="23"/>
        </w:numPr>
        <w:tabs>
          <w:tab w:val="left" w:pos="567"/>
        </w:tabs>
        <w:spacing w:after="0"/>
        <w:rPr>
          <w:rFonts w:eastAsia="Calibri" w:cs="Arial"/>
          <w:color w:val="000000"/>
        </w:rPr>
      </w:pPr>
      <w:r w:rsidRPr="004E6E24">
        <w:rPr>
          <w:rFonts w:eastAsia="Calibri" w:cs="Arial"/>
          <w:color w:val="000000"/>
        </w:rPr>
        <w:t>butelkach z tworzywa sztucznego (PET) o pojemności do trzech litrów</w:t>
      </w:r>
      <w:r>
        <w:rPr>
          <w:rFonts w:eastAsia="Calibri" w:cs="Arial"/>
          <w:color w:val="000000"/>
        </w:rPr>
        <w:t>,</w:t>
      </w:r>
    </w:p>
    <w:p w14:paraId="184AE590" w14:textId="264E0DE3" w:rsidR="004E6E24" w:rsidRPr="004E6E24" w:rsidRDefault="004E6E24" w:rsidP="004E6E24">
      <w:pPr>
        <w:pStyle w:val="Akapitzlist"/>
        <w:numPr>
          <w:ilvl w:val="0"/>
          <w:numId w:val="23"/>
        </w:numPr>
        <w:tabs>
          <w:tab w:val="left" w:pos="567"/>
          <w:tab w:val="left" w:pos="709"/>
          <w:tab w:val="left" w:pos="851"/>
        </w:tabs>
        <w:spacing w:after="0"/>
        <w:rPr>
          <w:rFonts w:eastAsia="Calibri" w:cs="Arial"/>
          <w:color w:val="000000"/>
        </w:rPr>
      </w:pPr>
      <w:r w:rsidRPr="004E6E24">
        <w:rPr>
          <w:rFonts w:eastAsia="Calibri" w:cs="Arial"/>
          <w:color w:val="000000"/>
        </w:rPr>
        <w:t>puszkach metalowych o pojemności do 1 litra,</w:t>
      </w:r>
    </w:p>
    <w:p w14:paraId="583C20AF" w14:textId="2FC5CDE0" w:rsidR="004E6E24" w:rsidRPr="004E6E24" w:rsidRDefault="004E6E24" w:rsidP="004E6E24">
      <w:pPr>
        <w:pStyle w:val="Akapitzlist"/>
        <w:numPr>
          <w:ilvl w:val="0"/>
          <w:numId w:val="23"/>
        </w:numPr>
        <w:tabs>
          <w:tab w:val="left" w:pos="567"/>
          <w:tab w:val="left" w:pos="709"/>
          <w:tab w:val="left" w:pos="851"/>
        </w:tabs>
        <w:spacing w:after="0"/>
        <w:rPr>
          <w:rFonts w:eastAsia="Calibri" w:cs="Arial"/>
          <w:color w:val="000000"/>
        </w:rPr>
      </w:pPr>
      <w:r>
        <w:rPr>
          <w:rFonts w:eastAsia="Calibri" w:cs="Arial"/>
          <w:color w:val="000000"/>
        </w:rPr>
        <w:t>butelkach szklanych wielokrotnego użytku o pojemności do 1,5 litra („Butelka Zwrotna”).</w:t>
      </w:r>
    </w:p>
    <w:p w14:paraId="1AC0DD07" w14:textId="40CE847A" w:rsidR="003E5119" w:rsidRDefault="004E6E24" w:rsidP="004E6E24">
      <w:pPr>
        <w:tabs>
          <w:tab w:val="left" w:pos="567"/>
          <w:tab w:val="left" w:pos="709"/>
          <w:tab w:val="left" w:pos="851"/>
        </w:tabs>
        <w:spacing w:after="0"/>
        <w:rPr>
          <w:rFonts w:eastAsia="Calibri" w:cs="Arial"/>
          <w:color w:val="000000"/>
        </w:rPr>
      </w:pPr>
      <w:r>
        <w:rPr>
          <w:rFonts w:eastAsia="Calibri" w:cs="Arial"/>
          <w:color w:val="000000"/>
        </w:rPr>
        <w:lastRenderedPageBreak/>
        <w:t xml:space="preserve">Na dzień sporządzenia </w:t>
      </w:r>
      <w:r w:rsidR="001F3D07">
        <w:rPr>
          <w:rFonts w:eastAsia="Calibri" w:cs="Arial"/>
          <w:color w:val="000000"/>
        </w:rPr>
        <w:t xml:space="preserve">przedmiotowego </w:t>
      </w:r>
      <w:r>
        <w:rPr>
          <w:rFonts w:eastAsia="Calibri" w:cs="Arial"/>
          <w:color w:val="000000"/>
        </w:rPr>
        <w:t xml:space="preserve">wniosku Spółka nie zawarła jeszcze umowy z podmiotem reprezentującym prowadzącym system kaucyjny w rozumieniu przepisów ustawy opakowaniowej. </w:t>
      </w:r>
      <w:r w:rsidR="00385536">
        <w:rPr>
          <w:rFonts w:eastAsia="Calibri" w:cs="Arial"/>
          <w:color w:val="000000"/>
        </w:rPr>
        <w:t xml:space="preserve">Z uwagi na uwarunkowania organizacyjne, logistyczne oraz konieczność dostosowania procesów operacyjnych i systemów rozliczeniowych do funkcjonowania systemu kaucyjnego, zawarcie umowy z podmiotem reprezentującym nie było możliwe na początku roku kalendarzowego. </w:t>
      </w:r>
      <w:r>
        <w:rPr>
          <w:rFonts w:eastAsia="Calibri" w:cs="Arial"/>
          <w:color w:val="000000"/>
        </w:rPr>
        <w:t>Wnioskodawca  prowadzi jednak działania przygotowawcze zmierzające do przystąpienia do systemu kaucyjnego</w:t>
      </w:r>
      <w:r w:rsidR="00385536">
        <w:rPr>
          <w:rFonts w:eastAsia="Calibri" w:cs="Arial"/>
          <w:color w:val="000000"/>
        </w:rPr>
        <w:t>. Przystąpienie do systemu kaucyjnego oraz zawarcie stosownej umowy z podmiotem reprezentującym nastąpi w trakcie roku kalendarzowego</w:t>
      </w:r>
      <w:r w:rsidR="00286FCC">
        <w:rPr>
          <w:rFonts w:eastAsia="Calibri" w:cs="Arial"/>
          <w:color w:val="000000"/>
        </w:rPr>
        <w:t>.</w:t>
      </w:r>
    </w:p>
    <w:p w14:paraId="63AA4EE1" w14:textId="5D60D561" w:rsidR="003E5119" w:rsidRDefault="00286FCC" w:rsidP="004E6E24">
      <w:pPr>
        <w:tabs>
          <w:tab w:val="left" w:pos="567"/>
          <w:tab w:val="left" w:pos="709"/>
          <w:tab w:val="left" w:pos="851"/>
        </w:tabs>
        <w:spacing w:after="0"/>
        <w:rPr>
          <w:rFonts w:eastAsia="Calibri" w:cs="Arial"/>
          <w:b/>
          <w:color w:val="000000"/>
        </w:rPr>
      </w:pPr>
      <w:r>
        <w:rPr>
          <w:rFonts w:eastAsia="Calibri" w:cs="Arial"/>
          <w:b/>
          <w:color w:val="000000"/>
        </w:rPr>
        <w:t>Stanowisko</w:t>
      </w:r>
      <w:r w:rsidR="003E5119" w:rsidRPr="003E5119">
        <w:rPr>
          <w:rFonts w:eastAsia="Calibri" w:cs="Arial"/>
          <w:b/>
          <w:color w:val="000000"/>
        </w:rPr>
        <w:t xml:space="preserve"> Wnioskodawcy:</w:t>
      </w:r>
    </w:p>
    <w:p w14:paraId="6593B98E" w14:textId="7ED91A3E" w:rsidR="00A97A00" w:rsidRPr="00444799" w:rsidRDefault="003E5119" w:rsidP="004E6E24">
      <w:pPr>
        <w:tabs>
          <w:tab w:val="left" w:pos="567"/>
          <w:tab w:val="left" w:pos="709"/>
          <w:tab w:val="left" w:pos="851"/>
        </w:tabs>
        <w:spacing w:after="0"/>
        <w:rPr>
          <w:rFonts w:eastAsia="Calibri" w:cs="Arial"/>
          <w:color w:val="000000"/>
        </w:rPr>
      </w:pPr>
      <w:r w:rsidRPr="003E5119">
        <w:rPr>
          <w:rFonts w:eastAsia="Calibri" w:cs="Arial"/>
          <w:color w:val="000000"/>
        </w:rPr>
        <w:t>Zdaniem Wnioskodawcy, mając na uwadze opisany stan faktyczny</w:t>
      </w:r>
      <w:r>
        <w:rPr>
          <w:rFonts w:eastAsia="Calibri" w:cs="Arial"/>
          <w:color w:val="000000"/>
        </w:rPr>
        <w:t xml:space="preserve"> tj. w przypadku gdy Spółka zawrze umowę z Operatorem w trakcie roku kalendarzowego, a</w:t>
      </w:r>
      <w:r w:rsidR="00234BD7">
        <w:rPr>
          <w:rFonts w:eastAsia="Calibri" w:cs="Arial"/>
          <w:color w:val="000000"/>
        </w:rPr>
        <w:t> </w:t>
      </w:r>
      <w:r>
        <w:rPr>
          <w:rFonts w:eastAsia="Calibri" w:cs="Arial"/>
          <w:color w:val="000000"/>
        </w:rPr>
        <w:t xml:space="preserve">jednocześnie nie osiągnie poziomu selektywnego zbierania opakowań i odpadów opakowaniowych, o którym mowa w art.21a ust.1 ustawy o gospodarce </w:t>
      </w:r>
      <w:r w:rsidR="00234BD7" w:rsidRPr="00234BD7">
        <w:rPr>
          <w:rFonts w:eastAsia="Calibri" w:cs="Arial"/>
          <w:color w:val="000000"/>
        </w:rPr>
        <w:t>opakowaniami i odpadami opakowaniowymi</w:t>
      </w:r>
      <w:r w:rsidR="00234BD7">
        <w:rPr>
          <w:rFonts w:eastAsia="Calibri" w:cs="Arial"/>
          <w:color w:val="000000"/>
        </w:rPr>
        <w:t>, opłata produktowa powinna zostać ustalona zgodnie z art. 34 ust. 2e w odniesieniu do całego okresu rozliczeniowego ustalanego zgodnie z art. 34 ust. 1 ww. ustawy tj. roku kalendarzowego</w:t>
      </w:r>
      <w:r w:rsidR="000E75DF">
        <w:rPr>
          <w:rFonts w:eastAsia="Calibri" w:cs="Arial"/>
          <w:color w:val="000000"/>
        </w:rPr>
        <w:t>,</w:t>
      </w:r>
      <w:r w:rsidR="00234BD7">
        <w:rPr>
          <w:rFonts w:eastAsia="Calibri" w:cs="Arial"/>
          <w:color w:val="000000"/>
        </w:rPr>
        <w:t xml:space="preserve"> w którym wprowadzający zawarł umowę z Operatorem.</w:t>
      </w:r>
      <w:r w:rsidR="00D039DE">
        <w:rPr>
          <w:rFonts w:eastAsia="Calibri" w:cs="Arial"/>
          <w:color w:val="000000"/>
        </w:rPr>
        <w:t xml:space="preserve"> Jak zaznacza Wnioskodawca punktem wyjścia dla oceny przedstawionego zagadnienia jest konstrukcja obowiązku osiągnięcia poziomu selektywnego zbierania opakowań i odpadów opakowaniowych określona w art. 21a ust. 1 ustawy o opakowaniach Zgodnie z tym przepisem wprowadzający produkty w opakowaniach na napoje jest zobowiązany do osiągnięcia poziomów selektywnego zbierania</w:t>
      </w:r>
      <w:r w:rsidR="00D06ED8">
        <w:rPr>
          <w:rFonts w:eastAsia="Calibri" w:cs="Arial"/>
          <w:color w:val="000000"/>
        </w:rPr>
        <w:t xml:space="preserve"> opakowań</w:t>
      </w:r>
      <w:r w:rsidR="005069BB">
        <w:rPr>
          <w:rFonts w:eastAsia="Calibri" w:cs="Arial"/>
          <w:color w:val="000000"/>
        </w:rPr>
        <w:t xml:space="preserve"> i odpadów opakowaniowych co najmniej w wysokości określonej w załączniku nr 1a do ustawy. Jednocześnie ustawodawca wprost wskazuje, że do osiągniętych poziomów selektywnego zbierania wlicza się wyłącznie opakowania i odpady opakowaniowe selektywnie zebrane w ramach systemu kaucyjnego.</w:t>
      </w:r>
      <w:r w:rsidR="000E75DF">
        <w:rPr>
          <w:rFonts w:eastAsia="Calibri" w:cs="Arial"/>
          <w:color w:val="000000"/>
        </w:rPr>
        <w:t xml:space="preserve"> Oznacza to , że</w:t>
      </w:r>
      <w:r w:rsidR="001E3624">
        <w:rPr>
          <w:rFonts w:eastAsia="Calibri" w:cs="Arial"/>
          <w:color w:val="000000"/>
        </w:rPr>
        <w:t xml:space="preserve"> osiągnięcie wymaganych poziomów selektywnego zbierania jest ściśle powiązane z udziałem w</w:t>
      </w:r>
      <w:r w:rsidR="00B01717">
        <w:rPr>
          <w:rFonts w:eastAsia="Calibri" w:cs="Arial"/>
          <w:color w:val="000000"/>
        </w:rPr>
        <w:t> </w:t>
      </w:r>
      <w:r w:rsidR="001E3624">
        <w:rPr>
          <w:rFonts w:eastAsia="Calibri" w:cs="Arial"/>
          <w:color w:val="000000"/>
        </w:rPr>
        <w:t>systemie kaucyjnym. Zdaniem Wnioskodawcy istotne znaczenie dla oceny skutków zawarcia takiej umowy w</w:t>
      </w:r>
      <w:r w:rsidR="00D06ED8">
        <w:rPr>
          <w:rFonts w:eastAsia="Calibri" w:cs="Arial"/>
          <w:color w:val="000000"/>
        </w:rPr>
        <w:t xml:space="preserve"> trakcie roku kalendarzowego ma mechanizm</w:t>
      </w:r>
      <w:r w:rsidR="001E3624">
        <w:rPr>
          <w:rFonts w:eastAsia="Calibri" w:cs="Arial"/>
          <w:color w:val="000000"/>
        </w:rPr>
        <w:t xml:space="preserve"> rozliczenia obowiązków</w:t>
      </w:r>
      <w:r w:rsidR="00B01717">
        <w:rPr>
          <w:rFonts w:eastAsia="Calibri" w:cs="Arial"/>
          <w:color w:val="000000"/>
        </w:rPr>
        <w:t xml:space="preserve"> wynika</w:t>
      </w:r>
      <w:r w:rsidR="00D06ED8">
        <w:rPr>
          <w:rFonts w:eastAsia="Calibri" w:cs="Arial"/>
          <w:color w:val="000000"/>
        </w:rPr>
        <w:t>jących z ustawy o opakowaniach.</w:t>
      </w:r>
      <w:r w:rsidR="00B01717">
        <w:rPr>
          <w:rFonts w:eastAsia="Calibri" w:cs="Arial"/>
          <w:color w:val="000000"/>
        </w:rPr>
        <w:t xml:space="preserve"> Zgodnie z art. 34 ust. 1 ww. ustawy rozliczenie wykonania obowiązków określonych m.in. w art. 21a ust. 1 i 2 następuje na koniec roku kalendarzowego. Jednocześnie art. 36 1 ustawy </w:t>
      </w:r>
      <w:r w:rsidR="00B01717">
        <w:rPr>
          <w:rFonts w:eastAsia="Calibri" w:cs="Arial"/>
          <w:color w:val="000000"/>
        </w:rPr>
        <w:lastRenderedPageBreak/>
        <w:t>o</w:t>
      </w:r>
      <w:r w:rsidR="00D06ED8">
        <w:rPr>
          <w:rFonts w:eastAsia="Calibri" w:cs="Arial"/>
          <w:color w:val="000000"/>
        </w:rPr>
        <w:t> </w:t>
      </w:r>
      <w:r w:rsidR="00B01717">
        <w:rPr>
          <w:rFonts w:eastAsia="Calibri" w:cs="Arial"/>
          <w:color w:val="000000"/>
        </w:rPr>
        <w:t>opakowaniach stanowi, że opłata produktowa jest obliczana na koniec roku kalendarzowego. Zdaniem Wnioskodawcy powyższe przepisy jednoznacznie wskazują, że ustawodawca przyjął roczny model rozliczenia obowiązków w zakresie selektywnego zbierania opakowań oraz ewentualnej opłaty produktowej</w:t>
      </w:r>
      <w:r w:rsidR="0058524D">
        <w:rPr>
          <w:rFonts w:eastAsia="Calibri" w:cs="Arial"/>
          <w:color w:val="000000"/>
        </w:rPr>
        <w:t>. Oznacza to, że ocena wykonania obowiązków wynikających z ustawy o</w:t>
      </w:r>
      <w:r w:rsidR="00DB1447">
        <w:rPr>
          <w:rFonts w:eastAsia="Calibri" w:cs="Arial"/>
          <w:color w:val="000000"/>
        </w:rPr>
        <w:t> </w:t>
      </w:r>
      <w:r w:rsidR="0058524D" w:rsidRPr="0058524D">
        <w:rPr>
          <w:rFonts w:eastAsia="Calibri" w:cs="Arial"/>
          <w:color w:val="000000"/>
        </w:rPr>
        <w:t>gospodarce opakowaniami i odpadami opakowaniowymi</w:t>
      </w:r>
      <w:r w:rsidR="000E75DF">
        <w:rPr>
          <w:rFonts w:eastAsia="Calibri" w:cs="Arial"/>
          <w:color w:val="000000"/>
        </w:rPr>
        <w:t xml:space="preserve"> dokonywana jest</w:t>
      </w:r>
      <w:r w:rsidR="00167030">
        <w:rPr>
          <w:rFonts w:eastAsia="Calibri" w:cs="Arial"/>
          <w:color w:val="000000"/>
        </w:rPr>
        <w:t xml:space="preserve"> dopiero po zakończeniu roku kalendarzowego, z uwzględnieniem całokształtu działań podejmowanych przez Spółkę w tym okresie. W konsekwencji moment powstania obowiązku uiszczenia opłaty produktowej jest powiązany z wynikiem rocznego rozliczenia, a nie z poszczególnymi zdarzeniami występującymi w trakcie roku. Kluczowe znaczenie dla Wnioskodawcy mają przepisy art. 34 ust. 2c oraz art. 34 </w:t>
      </w:r>
      <w:r w:rsidR="00D404E2">
        <w:rPr>
          <w:rFonts w:eastAsia="Calibri" w:cs="Arial"/>
          <w:color w:val="000000"/>
        </w:rPr>
        <w:t xml:space="preserve">ust. 2e ustawy o opakowaniach. </w:t>
      </w:r>
      <w:r w:rsidR="00167030">
        <w:rPr>
          <w:rFonts w:eastAsia="Calibri" w:cs="Arial"/>
          <w:color w:val="000000"/>
        </w:rPr>
        <w:t>W o</w:t>
      </w:r>
      <w:r w:rsidR="00D404E2">
        <w:rPr>
          <w:rFonts w:eastAsia="Calibri" w:cs="Arial"/>
          <w:color w:val="000000"/>
        </w:rPr>
        <w:t xml:space="preserve">cenie wnioskodawcy ustawodawca </w:t>
      </w:r>
      <w:r w:rsidR="00167030">
        <w:rPr>
          <w:rFonts w:eastAsia="Calibri" w:cs="Arial"/>
          <w:color w:val="000000"/>
        </w:rPr>
        <w:t>nie wprowadził regulacji różnicującej zakres odpowiedzialności</w:t>
      </w:r>
      <w:r w:rsidR="00DB1447">
        <w:rPr>
          <w:rFonts w:eastAsia="Calibri" w:cs="Arial"/>
          <w:color w:val="000000"/>
        </w:rPr>
        <w:t xml:space="preserve"> za opłatę produktową w zależności od momentu zawarcia umowy z podmiotem reprezentującym w trakcie roku kalendarzowego. </w:t>
      </w:r>
      <w:r w:rsidR="002E49FF">
        <w:rPr>
          <w:rFonts w:eastAsia="Calibri" w:cs="Arial"/>
          <w:color w:val="000000"/>
        </w:rPr>
        <w:t>Spółka wskazuje</w:t>
      </w:r>
      <w:r w:rsidR="002E49FF" w:rsidRPr="002E49FF">
        <w:rPr>
          <w:rFonts w:eastAsia="Calibri" w:cs="Arial"/>
          <w:color w:val="000000"/>
        </w:rPr>
        <w:t xml:space="preserve"> </w:t>
      </w:r>
      <w:r w:rsidR="002E49FF">
        <w:rPr>
          <w:rFonts w:eastAsia="Calibri" w:cs="Arial"/>
          <w:color w:val="000000"/>
        </w:rPr>
        <w:t>również, że u</w:t>
      </w:r>
      <w:r w:rsidR="00DB1447">
        <w:rPr>
          <w:rFonts w:eastAsia="Calibri" w:cs="Arial"/>
          <w:color w:val="000000"/>
        </w:rPr>
        <w:t>stawa nie przewiduje mechanizmu proporcjonalnego podziału opłaty produktowej w zależności od okresu pozostawania w systemie kaucyjnym w danym roku. Według Wnioskodawcy brak takich regulacji należy interpretować w kontekście przyjętego przez ustawodawcę rocznego modelu rozliczenia obowiązków wynika</w:t>
      </w:r>
      <w:r w:rsidR="00D404E2">
        <w:rPr>
          <w:rFonts w:eastAsia="Calibri" w:cs="Arial"/>
          <w:color w:val="000000"/>
        </w:rPr>
        <w:t>jących z ustawy o opakowaniach.</w:t>
      </w:r>
      <w:r w:rsidR="00DB1447">
        <w:rPr>
          <w:rFonts w:eastAsia="Calibri" w:cs="Arial"/>
          <w:color w:val="000000"/>
        </w:rPr>
        <w:t xml:space="preserve"> W ocenie Wnioskodawcy </w:t>
      </w:r>
      <w:r w:rsidR="00A73824">
        <w:rPr>
          <w:rFonts w:eastAsia="Calibri" w:cs="Arial"/>
          <w:color w:val="000000"/>
        </w:rPr>
        <w:t xml:space="preserve">skoro </w:t>
      </w:r>
      <w:r w:rsidR="00DB1447">
        <w:rPr>
          <w:rFonts w:eastAsia="Calibri" w:cs="Arial"/>
          <w:color w:val="000000"/>
        </w:rPr>
        <w:t xml:space="preserve">osiągnięcie poziomu selektywnego zbierania oraz ustalenie </w:t>
      </w:r>
      <w:r w:rsidR="00DB1447" w:rsidRPr="00A73824">
        <w:rPr>
          <w:rFonts w:eastAsia="Calibri" w:cs="Arial"/>
        </w:rPr>
        <w:t>opłaty produktowej następuje w odniesieniu do całego roku kalendarzowego,</w:t>
      </w:r>
      <w:r w:rsidR="00453624" w:rsidRPr="00A73824">
        <w:rPr>
          <w:rFonts w:eastAsia="Calibri" w:cs="Arial"/>
        </w:rPr>
        <w:t xml:space="preserve"> to również ocena przesłanek zastosowania poszczególnych przepisów regulujących</w:t>
      </w:r>
      <w:r w:rsidR="00A73824" w:rsidRPr="00A73824">
        <w:rPr>
          <w:rFonts w:eastAsia="Calibri" w:cs="Arial"/>
        </w:rPr>
        <w:t xml:space="preserve"> opłatę produktową powinna być dokonywana w odniesieniu do tego samego okresu rozliczeniowego.</w:t>
      </w:r>
      <w:r w:rsidR="00A73824">
        <w:rPr>
          <w:rFonts w:eastAsia="Calibri" w:cs="Arial"/>
        </w:rPr>
        <w:t xml:space="preserve"> Według wnioskodawcy</w:t>
      </w:r>
      <w:r w:rsidR="00D404E2">
        <w:rPr>
          <w:rFonts w:eastAsia="Calibri" w:cs="Arial"/>
        </w:rPr>
        <w:t xml:space="preserve"> oznacza to, że w sytuacji, gdy</w:t>
      </w:r>
      <w:r w:rsidR="00A73824">
        <w:rPr>
          <w:rFonts w:eastAsia="Calibri" w:cs="Arial"/>
        </w:rPr>
        <w:t xml:space="preserve"> Spółka zawrze umowę z podmiotem reprezentującym w trakcie roku kalendarzowego, należy uznać, że w danym roku spełniona została przesłanka zawarcia umowy z podmiotem reprezentującym. Wnioskodawca wskazuje, ż</w:t>
      </w:r>
      <w:r w:rsidR="00DE0F22">
        <w:rPr>
          <w:rFonts w:eastAsia="Calibri" w:cs="Arial"/>
        </w:rPr>
        <w:t>e w przypadku nieosiągnięcia wymaganych poziomów selektywnego zbierania opakowań i odpadów opakowanio</w:t>
      </w:r>
      <w:r w:rsidR="00D06ED8">
        <w:rPr>
          <w:rFonts w:eastAsia="Calibri" w:cs="Arial"/>
        </w:rPr>
        <w:t>wych</w:t>
      </w:r>
      <w:r w:rsidR="00DE0F22">
        <w:rPr>
          <w:rFonts w:eastAsia="Calibri" w:cs="Arial"/>
        </w:rPr>
        <w:t xml:space="preserve"> zastosowanie znajduje art. 34 ust. 2e ustawy o </w:t>
      </w:r>
      <w:r w:rsidR="00DE0F22" w:rsidRPr="00617626">
        <w:rPr>
          <w:rFonts w:eastAsia="Calibri" w:cs="Arial"/>
          <w:color w:val="000000"/>
        </w:rPr>
        <w:t>gospodarce opakowaniami i odpadami opakowaniowymi</w:t>
      </w:r>
      <w:r w:rsidR="00FA28AC">
        <w:rPr>
          <w:rFonts w:eastAsia="Calibri" w:cs="Arial"/>
          <w:color w:val="000000"/>
        </w:rPr>
        <w:t xml:space="preserve">. Według Wnioskodawcy z uwagi na roczny charakter rozliczenia obowiązków wynikających z ustawy opakowaniowej, w szczególności wynikający z art. 34 ust. 1 oraz art. 36 ust. 1 tej ustawy, przepis ten znajduje zastosowanie w odniesieniu do opłaty produktowej ustalanej za cały rok kalendarzowy jako jeden okres rozliczeniowy. </w:t>
      </w:r>
    </w:p>
    <w:p w14:paraId="0A2F94F7" w14:textId="3F614E8B" w:rsidR="00A97A00" w:rsidRDefault="00D404E2" w:rsidP="004E6E24">
      <w:pPr>
        <w:tabs>
          <w:tab w:val="left" w:pos="567"/>
          <w:tab w:val="left" w:pos="709"/>
          <w:tab w:val="left" w:pos="851"/>
        </w:tabs>
        <w:spacing w:after="0"/>
        <w:rPr>
          <w:rFonts w:eastAsia="Calibri" w:cs="Arial"/>
          <w:color w:val="000000"/>
        </w:rPr>
      </w:pPr>
      <w:r>
        <w:rPr>
          <w:rFonts w:eastAsia="Calibri" w:cs="Arial"/>
          <w:b/>
          <w:color w:val="000000"/>
        </w:rPr>
        <w:lastRenderedPageBreak/>
        <w:t>W niniejszej sprawie</w:t>
      </w:r>
      <w:r w:rsidR="00A97A00" w:rsidRPr="00A97A00">
        <w:rPr>
          <w:rFonts w:eastAsia="Calibri" w:cs="Arial"/>
          <w:b/>
          <w:color w:val="000000"/>
        </w:rPr>
        <w:t xml:space="preserve"> należy stwierdzić, co </w:t>
      </w:r>
      <w:r w:rsidR="00A97A00">
        <w:rPr>
          <w:rFonts w:eastAsia="Calibri" w:cs="Arial"/>
          <w:b/>
          <w:color w:val="000000"/>
        </w:rPr>
        <w:t>następuje:</w:t>
      </w:r>
      <w:r w:rsidR="00A97A00" w:rsidRPr="00A97A00">
        <w:rPr>
          <w:rFonts w:eastAsia="Calibri" w:cs="Arial"/>
          <w:color w:val="000000"/>
        </w:rPr>
        <w:t xml:space="preserve"> </w:t>
      </w:r>
    </w:p>
    <w:p w14:paraId="2FE1CDE2" w14:textId="5F01D152" w:rsidR="000333B2" w:rsidRPr="008F6892" w:rsidRDefault="005F50E9" w:rsidP="007C16A9">
      <w:pPr>
        <w:tabs>
          <w:tab w:val="left" w:pos="567"/>
          <w:tab w:val="left" w:pos="709"/>
          <w:tab w:val="left" w:pos="851"/>
        </w:tabs>
        <w:spacing w:after="0"/>
        <w:rPr>
          <w:color w:val="FF0000"/>
        </w:rPr>
      </w:pPr>
      <w:r w:rsidRPr="005F50E9">
        <w:rPr>
          <w:rFonts w:eastAsia="Calibri" w:cs="Arial"/>
          <w:color w:val="000000"/>
        </w:rPr>
        <w:t>W pierwszej kolejności należy wskazać, że zgodnie z art. 21a ust. 1 ustawy o</w:t>
      </w:r>
      <w:r w:rsidR="003C661D">
        <w:rPr>
          <w:rFonts w:eastAsia="Calibri" w:cs="Arial"/>
          <w:color w:val="000000"/>
        </w:rPr>
        <w:t> </w:t>
      </w:r>
      <w:r w:rsidRPr="005F50E9">
        <w:rPr>
          <w:rFonts w:eastAsia="Calibri" w:cs="Arial"/>
          <w:color w:val="000000"/>
        </w:rPr>
        <w:t>gospodarce opakowaniami i odpadami opakowaniowymi, wprowadzający produkty w</w:t>
      </w:r>
      <w:r w:rsidR="003C661D">
        <w:rPr>
          <w:rFonts w:eastAsia="Calibri" w:cs="Arial"/>
          <w:color w:val="000000"/>
        </w:rPr>
        <w:t> </w:t>
      </w:r>
      <w:r w:rsidRPr="005F50E9">
        <w:rPr>
          <w:rFonts w:eastAsia="Calibri" w:cs="Arial"/>
          <w:color w:val="000000"/>
        </w:rPr>
        <w:t xml:space="preserve">opakowaniach na napoje zobowiązany jest </w:t>
      </w:r>
      <w:r w:rsidR="003C661D" w:rsidRPr="003C661D">
        <w:rPr>
          <w:rFonts w:eastAsia="Calibri" w:cs="Arial"/>
          <w:color w:val="000000"/>
        </w:rPr>
        <w:t xml:space="preserve">osiągnąć poziomy selektywnego zbierania opakowań i odpadów opakowaniowych co najmniej w wysokości określonej w załączniku nr 1a do </w:t>
      </w:r>
      <w:r w:rsidR="003C661D">
        <w:rPr>
          <w:rFonts w:eastAsia="Calibri" w:cs="Arial"/>
          <w:color w:val="000000"/>
        </w:rPr>
        <w:t xml:space="preserve">ww. </w:t>
      </w:r>
      <w:r w:rsidR="003C661D" w:rsidRPr="003C661D">
        <w:rPr>
          <w:rFonts w:eastAsia="Calibri" w:cs="Arial"/>
          <w:color w:val="000000"/>
        </w:rPr>
        <w:t>ustawy</w:t>
      </w:r>
      <w:r w:rsidRPr="005F50E9">
        <w:rPr>
          <w:rFonts w:eastAsia="Calibri" w:cs="Arial"/>
          <w:color w:val="000000"/>
        </w:rPr>
        <w:t>. Jednocześnie ustawodawca jednoznacznie powiązał możliwość realizacji tego obowiązku z uczestnictwem w systemie kaucyjnym, wskazując, że do osiągniętych poziomów wlicza się wyłącznie opakowania i odpady opakowaniowe zebrane w ramach tego systemu.</w:t>
      </w:r>
      <w:r>
        <w:rPr>
          <w:rFonts w:eastAsia="Calibri" w:cs="Arial"/>
          <w:color w:val="000000"/>
        </w:rPr>
        <w:t xml:space="preserve"> </w:t>
      </w:r>
      <w:r w:rsidR="003C661D">
        <w:t xml:space="preserve">Z kolei zgodnie z art. 34 ust. 1 ustawy o </w:t>
      </w:r>
      <w:r w:rsidR="003C661D" w:rsidRPr="003C661D">
        <w:t xml:space="preserve">opakowaniach rozliczenie wykonania obowiązków, o których mowa m.in. w art. 21a ust. 1, następuje na koniec roku kalendarzowego. Również obliczenie opłaty produktowej – stosownie do art. 36 ust. 1 ustawy </w:t>
      </w:r>
      <w:r w:rsidR="003C661D">
        <w:t>o</w:t>
      </w:r>
      <w:r w:rsidR="00602F32">
        <w:t> </w:t>
      </w:r>
      <w:r w:rsidR="003C661D" w:rsidRPr="007C16A9">
        <w:t xml:space="preserve">gospodarce opakowaniami i odpadami opakowaniowymi dokonywane jest w ujęciu rocznym. </w:t>
      </w:r>
      <w:r w:rsidR="00635D36" w:rsidRPr="00635D36">
        <w:t>Powyższe przepisy jednoznacznie wskazują, że ustawodawca przyjął roczny model rozliczania</w:t>
      </w:r>
      <w:r w:rsidR="00635D36">
        <w:t xml:space="preserve">, </w:t>
      </w:r>
      <w:r w:rsidR="00635D36" w:rsidRPr="00635D36">
        <w:t xml:space="preserve">co </w:t>
      </w:r>
      <w:r w:rsidR="00635D36" w:rsidRPr="000333B2">
        <w:rPr>
          <w:color w:val="000000" w:themeColor="text1"/>
        </w:rPr>
        <w:t xml:space="preserve">oznacza, iż ocena wykonania tych obowiązków dokonywana jest po zakończeniu danego roku kalendarzowego, z uwzględnieniem całokształtu działań podejmowanych przez wprowadzającego w tym okresie. </w:t>
      </w:r>
      <w:r w:rsidR="007C16A9" w:rsidRPr="000333B2">
        <w:rPr>
          <w:color w:val="000000" w:themeColor="text1"/>
        </w:rPr>
        <w:t>W</w:t>
      </w:r>
      <w:r w:rsidR="00602F32">
        <w:rPr>
          <w:color w:val="000000" w:themeColor="text1"/>
        </w:rPr>
        <w:t> </w:t>
      </w:r>
      <w:r w:rsidR="007C16A9" w:rsidRPr="000333B2">
        <w:rPr>
          <w:color w:val="000000" w:themeColor="text1"/>
        </w:rPr>
        <w:t xml:space="preserve">ocenie organu, brak jest przepisów przewidujących różnicowanie zasad ustalania opłaty produktowej w zależności od momentu przystąpienia do systemu kaucyjnego w trakcie roku kalendarzowego. Ustawa nie wprowadza również mechanizmu proporcjonalnego rozliczenia obowiązków ani </w:t>
      </w:r>
      <w:r w:rsidR="000333B2" w:rsidRPr="000333B2">
        <w:rPr>
          <w:color w:val="000000" w:themeColor="text1"/>
        </w:rPr>
        <w:t xml:space="preserve">podziału </w:t>
      </w:r>
      <w:r w:rsidR="007C16A9" w:rsidRPr="000333B2">
        <w:rPr>
          <w:color w:val="000000" w:themeColor="text1"/>
        </w:rPr>
        <w:t>opłaty produktowej w</w:t>
      </w:r>
      <w:r w:rsidR="00602F32">
        <w:rPr>
          <w:color w:val="000000" w:themeColor="text1"/>
        </w:rPr>
        <w:t> </w:t>
      </w:r>
      <w:r w:rsidR="007C16A9" w:rsidRPr="000333B2">
        <w:rPr>
          <w:color w:val="000000" w:themeColor="text1"/>
        </w:rPr>
        <w:t>odniesieniu do okresu uczestnictwa w systemie w danym roku.</w:t>
      </w:r>
      <w:r w:rsidR="000333B2">
        <w:rPr>
          <w:color w:val="000000" w:themeColor="text1"/>
        </w:rPr>
        <w:t xml:space="preserve"> </w:t>
      </w:r>
    </w:p>
    <w:p w14:paraId="206C1FB2" w14:textId="26AD7455" w:rsidR="007C16A9" w:rsidRPr="008F6892" w:rsidRDefault="000333B2" w:rsidP="007C16A9">
      <w:pPr>
        <w:tabs>
          <w:tab w:val="left" w:pos="567"/>
          <w:tab w:val="left" w:pos="709"/>
          <w:tab w:val="left" w:pos="851"/>
        </w:tabs>
        <w:spacing w:after="0"/>
        <w:rPr>
          <w:color w:val="92D050"/>
        </w:rPr>
      </w:pPr>
      <w:r w:rsidRPr="00F51ABC">
        <w:t>W konsekwencji, dla celów rozliczenia obowiązków za dany rok kalendarzowy należy przyjąć, że zawarcie umowy z podmiotem reprezentującym w dowolnym momencie tego roku skutkuje spełnieniem przesłanki uczestnictwa w systemie kaucyjnym w</w:t>
      </w:r>
      <w:r w:rsidR="00F51ABC" w:rsidRPr="00F51ABC">
        <w:t> </w:t>
      </w:r>
      <w:r w:rsidRPr="00F51ABC">
        <w:t>odniesieniu do całego rocznego okresu rozliczeniowego. Okoliczność, iż przystąpienie do systemu następuje w trakcie roku, pozostaje bez wpływu na sposób ustalenia opłaty produktowej, która – zgodnie z przepisami ustawy – ma charakter roczny.</w:t>
      </w:r>
      <w:r w:rsidR="008F6892" w:rsidRPr="00F51ABC">
        <w:t xml:space="preserve"> </w:t>
      </w:r>
      <w:r w:rsidR="00602F32" w:rsidRPr="00602F32">
        <w:t>Tym samym, w przypadku nieosiągnięcia wymaganych poziomów selektywnego zbierania opakowań i odpadów opakowaniowych w roku kalendarzowym, w którym Wnioskodawca zawrze umowę z podmiotem reprezentującym, zastosowanie znajduje art. 34 ust. 2e ustawy o gospodarce opakowaniami i odpadami opakowaniowymi. Przepis ten powinien być sto</w:t>
      </w:r>
      <w:r w:rsidR="008F6892">
        <w:t>sowany w </w:t>
      </w:r>
      <w:r w:rsidR="00602F32" w:rsidRPr="00602F32">
        <w:t>odniesieniu do całego roku kalendarzowego jako jednego okresu rozliczeniowego.</w:t>
      </w:r>
    </w:p>
    <w:p w14:paraId="249861DF" w14:textId="77777777" w:rsidR="00602F32" w:rsidRPr="007C16A9" w:rsidRDefault="00602F32" w:rsidP="007C16A9">
      <w:pPr>
        <w:tabs>
          <w:tab w:val="left" w:pos="567"/>
          <w:tab w:val="left" w:pos="709"/>
          <w:tab w:val="left" w:pos="851"/>
        </w:tabs>
        <w:spacing w:after="0"/>
        <w:rPr>
          <w:color w:val="FF0000"/>
        </w:rPr>
      </w:pPr>
    </w:p>
    <w:p w14:paraId="010B1D32" w14:textId="5CFA4C98" w:rsidR="003C661D" w:rsidRPr="00602F32" w:rsidRDefault="00602F32" w:rsidP="007C16A9">
      <w:pPr>
        <w:tabs>
          <w:tab w:val="left" w:pos="567"/>
          <w:tab w:val="left" w:pos="709"/>
          <w:tab w:val="left" w:pos="851"/>
        </w:tabs>
        <w:spacing w:after="0"/>
        <w:rPr>
          <w:rFonts w:eastAsia="Calibri" w:cs="Arial"/>
        </w:rPr>
      </w:pPr>
      <w:r w:rsidRPr="00602F32">
        <w:t>Mając powyższe na uwadze, organ podziela stanowisko Wnioskodawcy, zgodnie z</w:t>
      </w:r>
      <w:r w:rsidR="006F6918">
        <w:t> </w:t>
      </w:r>
      <w:r w:rsidRPr="00602F32">
        <w:t>którym w opisanym stanie faktycznym opłata produktowa powinna zostać ustalona na podstawie art. 34 ust. 2e ustawy, w odniesieniu do całego roku kalendarzowego, w którym doszło do zawarcia umowy z podmiotem reprezentującym, niezależnie od momentu jej zawarcia w trakcie tego roku.</w:t>
      </w:r>
    </w:p>
    <w:p w14:paraId="1B2E8862" w14:textId="77777777" w:rsidR="003C661D" w:rsidRDefault="003C661D" w:rsidP="005F50E9">
      <w:pPr>
        <w:tabs>
          <w:tab w:val="left" w:pos="567"/>
          <w:tab w:val="left" w:pos="709"/>
          <w:tab w:val="left" w:pos="851"/>
        </w:tabs>
        <w:spacing w:after="0"/>
        <w:rPr>
          <w:rFonts w:eastAsia="Calibri" w:cs="Arial"/>
          <w:color w:val="000000"/>
        </w:rPr>
      </w:pPr>
    </w:p>
    <w:p w14:paraId="7DB5679D" w14:textId="226BC342" w:rsidR="005F50E9" w:rsidRPr="005F50E9" w:rsidRDefault="005F50E9" w:rsidP="005F50E9">
      <w:pPr>
        <w:tabs>
          <w:tab w:val="left" w:pos="567"/>
          <w:tab w:val="left" w:pos="709"/>
          <w:tab w:val="left" w:pos="851"/>
        </w:tabs>
        <w:spacing w:after="0"/>
        <w:rPr>
          <w:rFonts w:eastAsia="Calibri" w:cs="Arial"/>
          <w:color w:val="000000"/>
        </w:rPr>
      </w:pPr>
      <w:r>
        <w:rPr>
          <w:rFonts w:eastAsia="Calibri" w:cs="Arial"/>
          <w:color w:val="000000"/>
        </w:rPr>
        <w:t>P</w:t>
      </w:r>
      <w:r w:rsidRPr="005F50E9">
        <w:rPr>
          <w:rFonts w:eastAsia="Calibri" w:cs="Arial"/>
          <w:color w:val="000000"/>
        </w:rPr>
        <w:t>owyższa interpretacja przepisów dotyczy przedstawionego przez Wnioskodawcę i</w:t>
      </w:r>
      <w:r>
        <w:rPr>
          <w:rFonts w:eastAsia="Calibri" w:cs="Arial"/>
          <w:color w:val="000000"/>
        </w:rPr>
        <w:t> </w:t>
      </w:r>
      <w:r w:rsidRPr="005F50E9">
        <w:rPr>
          <w:rFonts w:eastAsia="Calibri" w:cs="Arial"/>
          <w:color w:val="000000"/>
        </w:rPr>
        <w:t xml:space="preserve">przytoczonego w treści decyzji stanu faktycznego i jest zgodna ze stanem prawnym obowiązującym w dniu wydania niniejszej interpretacji. </w:t>
      </w:r>
    </w:p>
    <w:p w14:paraId="26CE4159" w14:textId="34B058A6" w:rsidR="005F50E9" w:rsidRPr="005F50E9" w:rsidRDefault="005F50E9" w:rsidP="005F50E9">
      <w:pPr>
        <w:tabs>
          <w:tab w:val="left" w:pos="567"/>
          <w:tab w:val="left" w:pos="709"/>
          <w:tab w:val="left" w:pos="851"/>
        </w:tabs>
        <w:spacing w:after="0"/>
        <w:rPr>
          <w:rFonts w:eastAsia="Calibri" w:cs="Arial"/>
          <w:color w:val="000000"/>
        </w:rPr>
      </w:pPr>
      <w:r w:rsidRPr="005F50E9">
        <w:rPr>
          <w:rFonts w:eastAsia="Calibri" w:cs="Arial"/>
          <w:color w:val="000000"/>
        </w:rPr>
        <w:t>Interpretacja zawarta w powyższej decyzji dotyczy wyłącznie tej indywidualnej sprawy.</w:t>
      </w:r>
      <w:r>
        <w:rPr>
          <w:rFonts w:eastAsia="Calibri" w:cs="Arial"/>
          <w:color w:val="000000"/>
        </w:rPr>
        <w:t xml:space="preserve"> </w:t>
      </w:r>
      <w:r w:rsidRPr="005F50E9">
        <w:rPr>
          <w:rFonts w:eastAsia="Calibri" w:cs="Arial"/>
          <w:color w:val="000000"/>
        </w:rPr>
        <w:t xml:space="preserve">Mając powyższe na uwadze, orzeczono jak w sentencji. </w:t>
      </w:r>
    </w:p>
    <w:p w14:paraId="51ADB81E" w14:textId="77777777" w:rsidR="005F50E9" w:rsidRPr="005F50E9" w:rsidRDefault="005F50E9" w:rsidP="005F50E9">
      <w:pPr>
        <w:tabs>
          <w:tab w:val="left" w:pos="567"/>
          <w:tab w:val="left" w:pos="709"/>
          <w:tab w:val="left" w:pos="851"/>
        </w:tabs>
        <w:spacing w:after="0"/>
        <w:rPr>
          <w:rFonts w:eastAsia="Calibri" w:cs="Arial"/>
          <w:color w:val="000000"/>
        </w:rPr>
      </w:pPr>
    </w:p>
    <w:p w14:paraId="107D2700" w14:textId="77777777" w:rsidR="005F50E9" w:rsidRPr="005F50E9" w:rsidRDefault="005F50E9" w:rsidP="005F50E9">
      <w:pPr>
        <w:tabs>
          <w:tab w:val="left" w:pos="567"/>
          <w:tab w:val="left" w:pos="709"/>
          <w:tab w:val="left" w:pos="851"/>
        </w:tabs>
        <w:spacing w:after="0"/>
        <w:jc w:val="center"/>
        <w:rPr>
          <w:rFonts w:eastAsia="Calibri" w:cs="Arial"/>
          <w:b/>
          <w:color w:val="000000"/>
        </w:rPr>
      </w:pPr>
      <w:r w:rsidRPr="005F50E9">
        <w:rPr>
          <w:rFonts w:eastAsia="Calibri" w:cs="Arial"/>
          <w:b/>
          <w:color w:val="000000"/>
        </w:rPr>
        <w:t>POUCZENIE</w:t>
      </w:r>
    </w:p>
    <w:p w14:paraId="2C4DE525" w14:textId="77777777" w:rsidR="005F50E9" w:rsidRPr="005F50E9" w:rsidRDefault="005F50E9" w:rsidP="005F50E9">
      <w:pPr>
        <w:tabs>
          <w:tab w:val="left" w:pos="567"/>
          <w:tab w:val="left" w:pos="709"/>
          <w:tab w:val="left" w:pos="851"/>
        </w:tabs>
        <w:spacing w:after="0"/>
        <w:rPr>
          <w:rFonts w:eastAsia="Calibri" w:cs="Arial"/>
          <w:color w:val="000000"/>
        </w:rPr>
      </w:pPr>
    </w:p>
    <w:p w14:paraId="435C947B" w14:textId="68A3EAD3" w:rsidR="005F50E9" w:rsidRPr="005F50E9" w:rsidRDefault="005F50E9" w:rsidP="005F50E9">
      <w:pPr>
        <w:tabs>
          <w:tab w:val="left" w:pos="567"/>
          <w:tab w:val="left" w:pos="709"/>
          <w:tab w:val="left" w:pos="851"/>
        </w:tabs>
        <w:spacing w:after="0"/>
        <w:rPr>
          <w:rFonts w:eastAsia="Calibri" w:cs="Arial"/>
          <w:color w:val="000000"/>
        </w:rPr>
      </w:pPr>
      <w:r w:rsidRPr="005F50E9">
        <w:rPr>
          <w:rFonts w:eastAsia="Calibri" w:cs="Arial"/>
          <w:color w:val="000000"/>
        </w:rPr>
        <w:t>Od decyzji służy Stronie prawo wniesienia odwołania do Głównego Inspektora Ochrony Środowiska za pośrednictwem Marszałka Województwa Podkarpackiego w</w:t>
      </w:r>
      <w:r>
        <w:rPr>
          <w:rFonts w:eastAsia="Calibri" w:cs="Arial"/>
          <w:color w:val="000000"/>
        </w:rPr>
        <w:t> </w:t>
      </w:r>
      <w:r w:rsidRPr="005F50E9">
        <w:rPr>
          <w:rFonts w:eastAsia="Calibri" w:cs="Arial"/>
          <w:color w:val="000000"/>
        </w:rPr>
        <w:t>terminie 14 dni od dnia doręczenia decyzji. Odwołanie należy składać w dwóch egzemplarzach.</w:t>
      </w:r>
    </w:p>
    <w:p w14:paraId="150E6078" w14:textId="6D921C4A" w:rsidR="008F6892" w:rsidRPr="008F6892" w:rsidRDefault="005F50E9" w:rsidP="005F50E9">
      <w:pPr>
        <w:tabs>
          <w:tab w:val="left" w:pos="567"/>
          <w:tab w:val="left" w:pos="709"/>
          <w:tab w:val="left" w:pos="851"/>
        </w:tabs>
        <w:spacing w:after="0"/>
        <w:rPr>
          <w:rFonts w:eastAsia="Calibri" w:cs="Arial"/>
          <w:color w:val="000000"/>
        </w:rPr>
        <w:sectPr w:rsidR="008F6892" w:rsidRPr="008F6892" w:rsidSect="00E57111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5F50E9">
        <w:rPr>
          <w:rFonts w:eastAsia="Calibri" w:cs="Arial"/>
          <w:color w:val="000000"/>
        </w:rPr>
        <w:t>Stronie przysługuje prawo do złożenia wniosku o przeprowadzenie przez organ odwoławczy postępowania wyjaśniającego w zakresie niezbędnym do rozstrzygnięcia sprawy. Przed upływem terminu do wniesienia odwołania Strona może zrzec się wniesienia odwołania wobec organu administracji publicznej, który wdał decyzję. Z dniem doręczenia organowi administracji publicznej oświadczenia o</w:t>
      </w:r>
      <w:r>
        <w:rPr>
          <w:rFonts w:eastAsia="Calibri" w:cs="Arial"/>
          <w:color w:val="000000"/>
        </w:rPr>
        <w:t> </w:t>
      </w:r>
      <w:r w:rsidRPr="005F50E9">
        <w:rPr>
          <w:rFonts w:eastAsia="Calibri" w:cs="Arial"/>
          <w:color w:val="000000"/>
        </w:rPr>
        <w:t xml:space="preserve">zrzeczeniu się prawa do wniesienia odwołania przez ostatnią ze stron postępowania, decyzja staje się ostateczna i </w:t>
      </w:r>
      <w:r w:rsidR="005575E6">
        <w:rPr>
          <w:rFonts w:eastAsia="Calibri" w:cs="Arial"/>
          <w:color w:val="000000"/>
        </w:rPr>
        <w:t>prawomocna.</w:t>
      </w:r>
    </w:p>
    <w:p w14:paraId="4719FCEC" w14:textId="77777777" w:rsidR="005575E6" w:rsidRDefault="005575E6" w:rsidP="005575E6">
      <w:pPr>
        <w:spacing w:after="1320" w:line="276" w:lineRule="auto"/>
        <w:rPr>
          <w:rFonts w:eastAsia="Calibri" w:cs="Arial"/>
          <w:color w:val="000000"/>
          <w:sz w:val="22"/>
        </w:rPr>
      </w:pPr>
    </w:p>
    <w:p w14:paraId="1B37E4E2" w14:textId="3D718577" w:rsidR="009549E7" w:rsidRPr="00487354" w:rsidRDefault="009549E7" w:rsidP="00444799">
      <w:pPr>
        <w:spacing w:after="200" w:line="276" w:lineRule="auto"/>
        <w:rPr>
          <w:rFonts w:eastAsia="Calibri" w:cs="Arial"/>
          <w:color w:val="000000"/>
          <w:sz w:val="22"/>
        </w:rPr>
      </w:pPr>
      <w:r w:rsidRPr="00487354">
        <w:rPr>
          <w:rFonts w:eastAsia="Calibri" w:cs="Arial"/>
          <w:color w:val="000000"/>
          <w:sz w:val="22"/>
        </w:rPr>
        <w:t>Otrzymują:</w:t>
      </w:r>
    </w:p>
    <w:p w14:paraId="4A547550" w14:textId="77777777" w:rsidR="009549E7" w:rsidRPr="00487354" w:rsidRDefault="009549E7" w:rsidP="009549E7">
      <w:pPr>
        <w:numPr>
          <w:ilvl w:val="0"/>
          <w:numId w:val="24"/>
        </w:numPr>
        <w:spacing w:after="0" w:line="240" w:lineRule="auto"/>
        <w:jc w:val="both"/>
        <w:rPr>
          <w:rFonts w:cs="Arial"/>
          <w:sz w:val="22"/>
        </w:rPr>
      </w:pPr>
      <w:r w:rsidRPr="00487354">
        <w:rPr>
          <w:rFonts w:eastAsia="Calibri" w:cs="Arial"/>
          <w:sz w:val="22"/>
        </w:rPr>
        <w:t>Adresat</w:t>
      </w:r>
    </w:p>
    <w:p w14:paraId="0242E153" w14:textId="43CAF21B" w:rsidR="00A20E56" w:rsidRPr="00F51ABC" w:rsidRDefault="009549E7" w:rsidP="007546D4">
      <w:pPr>
        <w:numPr>
          <w:ilvl w:val="0"/>
          <w:numId w:val="24"/>
        </w:numPr>
        <w:spacing w:after="0" w:line="240" w:lineRule="auto"/>
        <w:jc w:val="both"/>
        <w:rPr>
          <w:rFonts w:cs="Arial"/>
          <w:sz w:val="22"/>
        </w:rPr>
      </w:pPr>
      <w:r w:rsidRPr="00487354">
        <w:rPr>
          <w:rFonts w:eastAsia="Calibri" w:cs="Arial"/>
          <w:sz w:val="22"/>
          <w:lang w:val="en-US"/>
        </w:rPr>
        <w:t>OS-XI. - a/a</w:t>
      </w:r>
    </w:p>
    <w:sectPr w:rsidR="00A20E56" w:rsidRPr="00F51ABC" w:rsidSect="009549E7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7EFF8" w14:textId="77777777" w:rsidR="00452215" w:rsidRDefault="00452215" w:rsidP="005A123E">
      <w:pPr>
        <w:spacing w:after="0" w:line="240" w:lineRule="auto"/>
      </w:pPr>
      <w:r>
        <w:separator/>
      </w:r>
    </w:p>
  </w:endnote>
  <w:endnote w:type="continuationSeparator" w:id="0">
    <w:p w14:paraId="79EE9D89" w14:textId="77777777" w:rsidR="00452215" w:rsidRDefault="00452215" w:rsidP="005A12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062659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DFD0EE1" w14:textId="45A885D1" w:rsidR="00C0472E" w:rsidRPr="00CA776C" w:rsidRDefault="008B101E" w:rsidP="004168DF">
            <w:pPr>
              <w:pStyle w:val="Stopka"/>
              <w:ind w:left="-567" w:firstLine="567"/>
            </w:pPr>
            <w:r>
              <w:t>OS-XI.</w:t>
            </w:r>
            <w:r w:rsidR="004E6E24">
              <w:t>720</w:t>
            </w:r>
            <w:r>
              <w:t>.</w:t>
            </w:r>
            <w:r w:rsidR="004E6E24">
              <w:t>2</w:t>
            </w:r>
            <w:r>
              <w:t>.2026.AP</w:t>
            </w:r>
          </w:p>
          <w:p w14:paraId="365DB4B4" w14:textId="5BFC3F8D" w:rsidR="00A26969" w:rsidRDefault="00AD61B2" w:rsidP="00C0472E">
            <w:pPr>
              <w:pStyle w:val="Stopka"/>
              <w:jc w:val="right"/>
            </w:pPr>
            <w:r w:rsidRPr="00C0472E">
              <w:t xml:space="preserve">Strona </w:t>
            </w:r>
            <w:r w:rsidRPr="00C0472E">
              <w:fldChar w:fldCharType="begin"/>
            </w:r>
            <w:r w:rsidRPr="00C0472E">
              <w:instrText>PAGE</w:instrText>
            </w:r>
            <w:r w:rsidRPr="00C0472E">
              <w:fldChar w:fldCharType="separate"/>
            </w:r>
            <w:r w:rsidR="008F6892">
              <w:rPr>
                <w:noProof/>
              </w:rPr>
              <w:t>6</w:t>
            </w:r>
            <w:r w:rsidRPr="00C0472E">
              <w:fldChar w:fldCharType="end"/>
            </w:r>
            <w:r w:rsidRPr="00C0472E">
              <w:t xml:space="preserve"> z </w:t>
            </w:r>
            <w:r w:rsidRPr="00C0472E">
              <w:fldChar w:fldCharType="begin"/>
            </w:r>
            <w:r w:rsidRPr="00C0472E">
              <w:instrText>NUMPAGES</w:instrText>
            </w:r>
            <w:r w:rsidRPr="00C0472E">
              <w:fldChar w:fldCharType="separate"/>
            </w:r>
            <w:r w:rsidR="008F6892">
              <w:rPr>
                <w:noProof/>
              </w:rPr>
              <w:t>6</w:t>
            </w:r>
            <w:r w:rsidRPr="00C0472E"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3FA09" w14:textId="605EE212" w:rsidR="00AD61B2" w:rsidRDefault="00600BF2">
    <w:pPr>
      <w:pStyle w:val="Stopka"/>
    </w:pPr>
    <w:r>
      <w:rPr>
        <w:noProof/>
        <w:lang w:eastAsia="pl-PL"/>
      </w:rPr>
      <w:drawing>
        <wp:inline distT="0" distB="0" distL="0" distR="0" wp14:anchorId="3313B1FE" wp14:editId="2194BB4E">
          <wp:extent cx="6011545" cy="631190"/>
          <wp:effectExtent l="0" t="0" r="8255" b="0"/>
          <wp:docPr id="13" name="Obraz 1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6 marszałek Ortyl stopka-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11545" cy="631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A7405" w14:textId="77777777" w:rsidR="00000000" w:rsidRPr="00CA28C2" w:rsidRDefault="00716E55">
    <w:pPr>
      <w:pStyle w:val="Stopka"/>
      <w:rPr>
        <w:rFonts w:cs="Arial"/>
        <w:sz w:val="20"/>
        <w:szCs w:val="20"/>
      </w:rPr>
    </w:pPr>
    <w:r w:rsidRPr="00947C2F">
      <w:rPr>
        <w:rFonts w:cs="Arial"/>
        <w:sz w:val="20"/>
        <w:szCs w:val="20"/>
      </w:rPr>
      <w:t>OS-XI.720.3.2025.MB</w:t>
    </w:r>
    <w:r>
      <w:rPr>
        <w:rFonts w:cs="Arial"/>
        <w:sz w:val="20"/>
        <w:szCs w:val="20"/>
      </w:rPr>
      <w:tab/>
    </w:r>
    <w:r>
      <w:rPr>
        <w:rFonts w:cs="Arial"/>
        <w:sz w:val="20"/>
        <w:szCs w:val="20"/>
      </w:rPr>
      <w:tab/>
    </w:r>
    <w:r w:rsidRPr="00CA28C2">
      <w:rPr>
        <w:rFonts w:cs="Arial"/>
        <w:sz w:val="20"/>
        <w:szCs w:val="20"/>
      </w:rPr>
      <w:t xml:space="preserve">Str. </w:t>
    </w:r>
    <w:r w:rsidRPr="00CA28C2">
      <w:rPr>
        <w:rStyle w:val="Numerstrony"/>
        <w:rFonts w:cs="Arial"/>
        <w:sz w:val="20"/>
        <w:szCs w:val="20"/>
      </w:rPr>
      <w:fldChar w:fldCharType="begin"/>
    </w:r>
    <w:r w:rsidRPr="00CA28C2">
      <w:rPr>
        <w:rStyle w:val="Numerstrony"/>
        <w:rFonts w:cs="Arial"/>
        <w:sz w:val="20"/>
        <w:szCs w:val="20"/>
      </w:rPr>
      <w:instrText xml:space="preserve"> PAGE </w:instrText>
    </w:r>
    <w:r w:rsidRPr="00CA28C2">
      <w:rPr>
        <w:rStyle w:val="Numerstrony"/>
        <w:rFonts w:cs="Arial"/>
        <w:sz w:val="20"/>
        <w:szCs w:val="20"/>
      </w:rPr>
      <w:fldChar w:fldCharType="separate"/>
    </w:r>
    <w:r w:rsidR="008F6892">
      <w:rPr>
        <w:rStyle w:val="Numerstrony"/>
        <w:rFonts w:cs="Arial"/>
        <w:noProof/>
        <w:sz w:val="20"/>
        <w:szCs w:val="20"/>
      </w:rPr>
      <w:t>7</w:t>
    </w:r>
    <w:r w:rsidRPr="00CA28C2">
      <w:rPr>
        <w:rStyle w:val="Numerstrony"/>
        <w:rFonts w:cs="Arial"/>
        <w:sz w:val="20"/>
        <w:szCs w:val="20"/>
      </w:rPr>
      <w:fldChar w:fldCharType="end"/>
    </w:r>
    <w:r>
      <w:rPr>
        <w:rStyle w:val="Numerstrony"/>
        <w:rFonts w:cs="Arial"/>
        <w:sz w:val="20"/>
        <w:szCs w:val="20"/>
      </w:rPr>
      <w:t xml:space="preserve"> </w:t>
    </w:r>
    <w:r w:rsidRPr="00CA28C2">
      <w:rPr>
        <w:rStyle w:val="Numerstrony"/>
        <w:rFonts w:cs="Arial"/>
        <w:sz w:val="20"/>
        <w:szCs w:val="20"/>
      </w:rPr>
      <w:t xml:space="preserve">z </w:t>
    </w:r>
    <w:r w:rsidRPr="00CA28C2">
      <w:rPr>
        <w:rStyle w:val="Numerstrony"/>
        <w:rFonts w:cs="Arial"/>
        <w:sz w:val="20"/>
        <w:szCs w:val="20"/>
      </w:rPr>
      <w:fldChar w:fldCharType="begin"/>
    </w:r>
    <w:r w:rsidRPr="00CA28C2">
      <w:rPr>
        <w:rStyle w:val="Numerstrony"/>
        <w:rFonts w:cs="Arial"/>
        <w:sz w:val="20"/>
        <w:szCs w:val="20"/>
      </w:rPr>
      <w:instrText xml:space="preserve"> NUMPAGES </w:instrText>
    </w:r>
    <w:r w:rsidRPr="00CA28C2">
      <w:rPr>
        <w:rStyle w:val="Numerstrony"/>
        <w:rFonts w:cs="Arial"/>
        <w:sz w:val="20"/>
        <w:szCs w:val="20"/>
      </w:rPr>
      <w:fldChar w:fldCharType="separate"/>
    </w:r>
    <w:r w:rsidR="008F6892">
      <w:rPr>
        <w:rStyle w:val="Numerstrony"/>
        <w:rFonts w:cs="Arial"/>
        <w:noProof/>
        <w:sz w:val="20"/>
        <w:szCs w:val="20"/>
      </w:rPr>
      <w:t>7</w:t>
    </w:r>
    <w:r w:rsidRPr="00CA28C2">
      <w:rPr>
        <w:rStyle w:val="Numerstrony"/>
        <w:rFonts w:cs="Arial"/>
        <w:sz w:val="20"/>
        <w:szCs w:val="20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77260" w14:textId="77777777" w:rsidR="00000000" w:rsidRDefault="00716E55" w:rsidP="00290E6F">
    <w:pPr>
      <w:pStyle w:val="Stopka"/>
      <w:tabs>
        <w:tab w:val="clear" w:pos="9072"/>
        <w:tab w:val="right" w:pos="9214"/>
      </w:tabs>
      <w:ind w:left="-1276" w:right="-1278"/>
      <w:jc w:val="center"/>
      <w:rPr>
        <w:rFonts w:cs="Arial"/>
        <w:b/>
      </w:rPr>
    </w:pPr>
    <w:r>
      <w:rPr>
        <w:rFonts w:cs="Arial"/>
        <w:b/>
        <w:noProof/>
        <w:lang w:eastAsia="pl-PL"/>
      </w:rPr>
      <w:drawing>
        <wp:inline distT="0" distB="0" distL="0" distR="0" wp14:anchorId="7FE4C0A3" wp14:editId="05BF3151">
          <wp:extent cx="1457325" cy="390525"/>
          <wp:effectExtent l="19050" t="0" r="9525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90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43B6D05" w14:textId="77777777" w:rsidR="00000000" w:rsidRDefault="00000000" w:rsidP="00290E6F">
    <w:pPr>
      <w:pStyle w:val="Stopka"/>
      <w:tabs>
        <w:tab w:val="clear" w:pos="9072"/>
        <w:tab w:val="right" w:pos="9214"/>
      </w:tabs>
      <w:ind w:left="-1276" w:right="-1278"/>
      <w:jc w:val="center"/>
      <w:rPr>
        <w:rFonts w:cs="Arial"/>
        <w:b/>
      </w:rPr>
    </w:pPr>
  </w:p>
  <w:p w14:paraId="36D22FBC" w14:textId="77777777" w:rsidR="00000000" w:rsidRDefault="00716E55" w:rsidP="00290E6F">
    <w:pPr>
      <w:pStyle w:val="Stopka"/>
      <w:tabs>
        <w:tab w:val="clear" w:pos="9072"/>
        <w:tab w:val="right" w:pos="9214"/>
      </w:tabs>
      <w:ind w:left="-1276" w:right="-1278"/>
      <w:jc w:val="center"/>
      <w:rPr>
        <w:sz w:val="16"/>
        <w:szCs w:val="16"/>
      </w:rPr>
    </w:pPr>
    <w:r>
      <w:rPr>
        <w:sz w:val="16"/>
        <w:szCs w:val="16"/>
      </w:rPr>
      <w:t>al. Łukasza Cieplińskiego 4, 35-010 Rzeszów</w:t>
    </w:r>
  </w:p>
  <w:p w14:paraId="387E1936" w14:textId="77777777" w:rsidR="00000000" w:rsidRPr="00A4731B" w:rsidRDefault="00716E55" w:rsidP="00290E6F">
    <w:pPr>
      <w:pStyle w:val="Stopka"/>
      <w:jc w:val="center"/>
      <w:rPr>
        <w:sz w:val="16"/>
        <w:szCs w:val="16"/>
      </w:rPr>
    </w:pPr>
    <w:r w:rsidRPr="00A4731B">
      <w:rPr>
        <w:sz w:val="16"/>
        <w:szCs w:val="16"/>
      </w:rPr>
      <w:t>tel. 17 850 17 00, fax 17 850 17 01, e-mail: marszalek@podkarpackie.pl,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7B4A7" w14:textId="77777777" w:rsidR="00452215" w:rsidRDefault="00452215" w:rsidP="005A123E">
      <w:pPr>
        <w:spacing w:after="0" w:line="240" w:lineRule="auto"/>
      </w:pPr>
      <w:r>
        <w:separator/>
      </w:r>
    </w:p>
  </w:footnote>
  <w:footnote w:type="continuationSeparator" w:id="0">
    <w:p w14:paraId="73004C89" w14:textId="77777777" w:rsidR="00452215" w:rsidRDefault="00452215" w:rsidP="005A12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56F1E" w14:textId="77777777" w:rsidR="00000000" w:rsidRDefault="00000000" w:rsidP="009B2462">
    <w:pPr>
      <w:pStyle w:val="Nagwek"/>
      <w:tabs>
        <w:tab w:val="left" w:pos="284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2D423" w14:textId="77777777" w:rsidR="00000000" w:rsidRDefault="00716E55" w:rsidP="0039597A">
    <w:pPr>
      <w:jc w:val="center"/>
    </w:pPr>
    <w:r>
      <w:rPr>
        <w:noProof/>
        <w:lang w:eastAsia="pl-PL"/>
      </w:rPr>
      <w:drawing>
        <wp:inline distT="0" distB="0" distL="0" distR="0" wp14:anchorId="27C88A3F" wp14:editId="536C617C">
          <wp:extent cx="595829" cy="684000"/>
          <wp:effectExtent l="19050" t="0" r="0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29" cy="68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F110867" w14:textId="77777777" w:rsidR="00000000" w:rsidRPr="00701A26" w:rsidRDefault="00000000" w:rsidP="0039597A">
    <w:pPr>
      <w:jc w:val="center"/>
      <w:rPr>
        <w:sz w:val="10"/>
      </w:rPr>
    </w:pPr>
  </w:p>
  <w:p w14:paraId="1B7C080D" w14:textId="77777777" w:rsidR="00000000" w:rsidRPr="0036581F" w:rsidRDefault="00716E55" w:rsidP="0039597A">
    <w:pPr>
      <w:jc w:val="center"/>
      <w:rPr>
        <w:rFonts w:ascii="Book Antiqua" w:hAnsi="Book Antiqua"/>
        <w:b/>
        <w:smallCaps/>
        <w:sz w:val="22"/>
      </w:rPr>
    </w:pPr>
    <w:r w:rsidRPr="0036581F">
      <w:rPr>
        <w:rFonts w:ascii="Book Antiqua" w:hAnsi="Book Antiqua"/>
        <w:b/>
        <w:smallCaps/>
        <w:sz w:val="22"/>
      </w:rPr>
      <w:t>MARSZAŁEK</w:t>
    </w:r>
  </w:p>
  <w:p w14:paraId="004D89C8" w14:textId="77777777" w:rsidR="00000000" w:rsidRPr="0036581F" w:rsidRDefault="00716E55" w:rsidP="0039597A">
    <w:pPr>
      <w:jc w:val="center"/>
      <w:rPr>
        <w:rFonts w:ascii="Book Antiqua" w:hAnsi="Book Antiqua"/>
        <w:b/>
        <w:smallCaps/>
        <w:sz w:val="22"/>
      </w:rPr>
    </w:pPr>
    <w:r w:rsidRPr="0036581F">
      <w:rPr>
        <w:rFonts w:ascii="Book Antiqua" w:hAnsi="Book Antiqua"/>
        <w:b/>
        <w:smallCaps/>
        <w:sz w:val="22"/>
      </w:rPr>
      <w:t>WOJEWÓDZTWA PODKARPACKIEGO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1690E"/>
    <w:multiLevelType w:val="hybridMultilevel"/>
    <w:tmpl w:val="07A002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F6781"/>
    <w:multiLevelType w:val="hybridMultilevel"/>
    <w:tmpl w:val="2A1A7D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C4407"/>
    <w:multiLevelType w:val="hybridMultilevel"/>
    <w:tmpl w:val="EF2C05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706EC8"/>
    <w:multiLevelType w:val="hybridMultilevel"/>
    <w:tmpl w:val="2E1C62B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4F3849"/>
    <w:multiLevelType w:val="hybridMultilevel"/>
    <w:tmpl w:val="FF1ED65C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4FC4AC1"/>
    <w:multiLevelType w:val="hybridMultilevel"/>
    <w:tmpl w:val="2314347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7387838"/>
    <w:multiLevelType w:val="hybridMultilevel"/>
    <w:tmpl w:val="94261D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B82ABE"/>
    <w:multiLevelType w:val="hybridMultilevel"/>
    <w:tmpl w:val="D14AC51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1F4603BC"/>
    <w:multiLevelType w:val="hybridMultilevel"/>
    <w:tmpl w:val="E670FA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8359D0"/>
    <w:multiLevelType w:val="hybridMultilevel"/>
    <w:tmpl w:val="F17CDCCC"/>
    <w:lvl w:ilvl="0" w:tplc="E0026F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0B">
      <w:start w:val="1"/>
      <w:numFmt w:val="bullet"/>
      <w:lvlText w:val=""/>
      <w:lvlJc w:val="left"/>
      <w:pPr>
        <w:ind w:left="2160" w:hanging="180"/>
      </w:pPr>
      <w:rPr>
        <w:rFonts w:ascii="Wingdings" w:hAnsi="Wingdings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11154C"/>
    <w:multiLevelType w:val="hybridMultilevel"/>
    <w:tmpl w:val="8304B6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6042DB"/>
    <w:multiLevelType w:val="hybridMultilevel"/>
    <w:tmpl w:val="159A3D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8609F1"/>
    <w:multiLevelType w:val="hybridMultilevel"/>
    <w:tmpl w:val="22684A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193EB0"/>
    <w:multiLevelType w:val="hybridMultilevel"/>
    <w:tmpl w:val="022CA79C"/>
    <w:lvl w:ilvl="0" w:tplc="46BC2258">
      <w:start w:val="3"/>
      <w:numFmt w:val="bullet"/>
      <w:lvlText w:val="•"/>
      <w:lvlJc w:val="left"/>
      <w:pPr>
        <w:ind w:left="1776" w:hanging="360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4" w15:restartNumberingAfterBreak="0">
    <w:nsid w:val="3A947555"/>
    <w:multiLevelType w:val="hybridMultilevel"/>
    <w:tmpl w:val="0A4E9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266468"/>
    <w:multiLevelType w:val="hybridMultilevel"/>
    <w:tmpl w:val="23BAEA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1F1F98"/>
    <w:multiLevelType w:val="hybridMultilevel"/>
    <w:tmpl w:val="782E0A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3D3CE5"/>
    <w:multiLevelType w:val="hybridMultilevel"/>
    <w:tmpl w:val="AFC240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8B2672"/>
    <w:multiLevelType w:val="hybridMultilevel"/>
    <w:tmpl w:val="2EE09236"/>
    <w:lvl w:ilvl="0" w:tplc="4C20C16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CA35EC"/>
    <w:multiLevelType w:val="hybridMultilevel"/>
    <w:tmpl w:val="B5D2D2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FB2A05"/>
    <w:multiLevelType w:val="hybridMultilevel"/>
    <w:tmpl w:val="CBBEAC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E42387"/>
    <w:multiLevelType w:val="hybridMultilevel"/>
    <w:tmpl w:val="3E0259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B90E84"/>
    <w:multiLevelType w:val="hybridMultilevel"/>
    <w:tmpl w:val="FCACE8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2C6A7F"/>
    <w:multiLevelType w:val="hybridMultilevel"/>
    <w:tmpl w:val="ACAE45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637F1C"/>
    <w:multiLevelType w:val="hybridMultilevel"/>
    <w:tmpl w:val="55FAD19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7B553394"/>
    <w:multiLevelType w:val="hybridMultilevel"/>
    <w:tmpl w:val="E738FCEC"/>
    <w:lvl w:ilvl="0" w:tplc="4686FE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8252484">
    <w:abstractNumId w:val="16"/>
  </w:num>
  <w:num w:numId="2" w16cid:durableId="1128470060">
    <w:abstractNumId w:val="9"/>
  </w:num>
  <w:num w:numId="3" w16cid:durableId="1226380158">
    <w:abstractNumId w:val="0"/>
  </w:num>
  <w:num w:numId="4" w16cid:durableId="535504013">
    <w:abstractNumId w:val="7"/>
  </w:num>
  <w:num w:numId="5" w16cid:durableId="2078702270">
    <w:abstractNumId w:val="5"/>
  </w:num>
  <w:num w:numId="6" w16cid:durableId="1338388932">
    <w:abstractNumId w:val="1"/>
  </w:num>
  <w:num w:numId="7" w16cid:durableId="1053578022">
    <w:abstractNumId w:val="15"/>
  </w:num>
  <w:num w:numId="8" w16cid:durableId="352926976">
    <w:abstractNumId w:val="24"/>
  </w:num>
  <w:num w:numId="9" w16cid:durableId="2079863611">
    <w:abstractNumId w:val="13"/>
  </w:num>
  <w:num w:numId="10" w16cid:durableId="59065118">
    <w:abstractNumId w:val="4"/>
  </w:num>
  <w:num w:numId="11" w16cid:durableId="1197355813">
    <w:abstractNumId w:val="3"/>
  </w:num>
  <w:num w:numId="12" w16cid:durableId="2076731895">
    <w:abstractNumId w:val="17"/>
  </w:num>
  <w:num w:numId="13" w16cid:durableId="965549167">
    <w:abstractNumId w:val="20"/>
  </w:num>
  <w:num w:numId="14" w16cid:durableId="1394813245">
    <w:abstractNumId w:val="2"/>
  </w:num>
  <w:num w:numId="15" w16cid:durableId="2005276681">
    <w:abstractNumId w:val="19"/>
  </w:num>
  <w:num w:numId="16" w16cid:durableId="1596088458">
    <w:abstractNumId w:val="14"/>
  </w:num>
  <w:num w:numId="17" w16cid:durableId="103692431">
    <w:abstractNumId w:val="22"/>
  </w:num>
  <w:num w:numId="18" w16cid:durableId="636183692">
    <w:abstractNumId w:val="6"/>
  </w:num>
  <w:num w:numId="19" w16cid:durableId="422536269">
    <w:abstractNumId w:val="12"/>
  </w:num>
  <w:num w:numId="20" w16cid:durableId="1212040773">
    <w:abstractNumId w:val="11"/>
  </w:num>
  <w:num w:numId="21" w16cid:durableId="1047946596">
    <w:abstractNumId w:val="10"/>
  </w:num>
  <w:num w:numId="22" w16cid:durableId="563493235">
    <w:abstractNumId w:val="18"/>
  </w:num>
  <w:num w:numId="23" w16cid:durableId="320355289">
    <w:abstractNumId w:val="25"/>
  </w:num>
  <w:num w:numId="24" w16cid:durableId="512260025">
    <w:abstractNumId w:val="23"/>
  </w:num>
  <w:num w:numId="25" w16cid:durableId="1970938075">
    <w:abstractNumId w:val="21"/>
  </w:num>
  <w:num w:numId="26" w16cid:durableId="32809520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1F21"/>
    <w:rsid w:val="00007CAA"/>
    <w:rsid w:val="0001071B"/>
    <w:rsid w:val="00010EF2"/>
    <w:rsid w:val="000333B2"/>
    <w:rsid w:val="00047967"/>
    <w:rsid w:val="00050B08"/>
    <w:rsid w:val="00056A3A"/>
    <w:rsid w:val="0006440D"/>
    <w:rsid w:val="00080AA1"/>
    <w:rsid w:val="0008118B"/>
    <w:rsid w:val="00091E2B"/>
    <w:rsid w:val="00096E22"/>
    <w:rsid w:val="000B6F32"/>
    <w:rsid w:val="000C5302"/>
    <w:rsid w:val="000E75DF"/>
    <w:rsid w:val="0011133F"/>
    <w:rsid w:val="00113144"/>
    <w:rsid w:val="001170B4"/>
    <w:rsid w:val="001203E3"/>
    <w:rsid w:val="00122DA0"/>
    <w:rsid w:val="0012414E"/>
    <w:rsid w:val="00127BB4"/>
    <w:rsid w:val="00130BFA"/>
    <w:rsid w:val="00131F0A"/>
    <w:rsid w:val="00135DAF"/>
    <w:rsid w:val="00137B32"/>
    <w:rsid w:val="00143B69"/>
    <w:rsid w:val="00166C0D"/>
    <w:rsid w:val="00167030"/>
    <w:rsid w:val="001A1063"/>
    <w:rsid w:val="001A5586"/>
    <w:rsid w:val="001C65E1"/>
    <w:rsid w:val="001C681A"/>
    <w:rsid w:val="001D46DD"/>
    <w:rsid w:val="001E3624"/>
    <w:rsid w:val="001F3D07"/>
    <w:rsid w:val="001F428D"/>
    <w:rsid w:val="001F613B"/>
    <w:rsid w:val="00202CC4"/>
    <w:rsid w:val="00210029"/>
    <w:rsid w:val="00215751"/>
    <w:rsid w:val="00231F21"/>
    <w:rsid w:val="00234BD7"/>
    <w:rsid w:val="0023540C"/>
    <w:rsid w:val="002461A3"/>
    <w:rsid w:val="00247DCC"/>
    <w:rsid w:val="002510F4"/>
    <w:rsid w:val="002558C0"/>
    <w:rsid w:val="00256B99"/>
    <w:rsid w:val="0026074C"/>
    <w:rsid w:val="00263317"/>
    <w:rsid w:val="00266162"/>
    <w:rsid w:val="002708EA"/>
    <w:rsid w:val="00277B94"/>
    <w:rsid w:val="00286FCC"/>
    <w:rsid w:val="00290D88"/>
    <w:rsid w:val="002C35A9"/>
    <w:rsid w:val="002C521C"/>
    <w:rsid w:val="002D6C54"/>
    <w:rsid w:val="002E1923"/>
    <w:rsid w:val="002E49FF"/>
    <w:rsid w:val="002E709E"/>
    <w:rsid w:val="002F3049"/>
    <w:rsid w:val="00300085"/>
    <w:rsid w:val="003051F0"/>
    <w:rsid w:val="003105AA"/>
    <w:rsid w:val="00310CF0"/>
    <w:rsid w:val="003262BB"/>
    <w:rsid w:val="00344080"/>
    <w:rsid w:val="003512DA"/>
    <w:rsid w:val="003534D2"/>
    <w:rsid w:val="00354EBD"/>
    <w:rsid w:val="003617B1"/>
    <w:rsid w:val="00374F29"/>
    <w:rsid w:val="00383F56"/>
    <w:rsid w:val="00385536"/>
    <w:rsid w:val="00385E22"/>
    <w:rsid w:val="003B00BE"/>
    <w:rsid w:val="003B197B"/>
    <w:rsid w:val="003B2F49"/>
    <w:rsid w:val="003C09E8"/>
    <w:rsid w:val="003C661D"/>
    <w:rsid w:val="003D2FA4"/>
    <w:rsid w:val="003D3A86"/>
    <w:rsid w:val="003E4E87"/>
    <w:rsid w:val="003E5119"/>
    <w:rsid w:val="003F0E37"/>
    <w:rsid w:val="003F1200"/>
    <w:rsid w:val="003F4F4A"/>
    <w:rsid w:val="003F5A82"/>
    <w:rsid w:val="0040291B"/>
    <w:rsid w:val="00406E97"/>
    <w:rsid w:val="004168DF"/>
    <w:rsid w:val="0043071C"/>
    <w:rsid w:val="004368D0"/>
    <w:rsid w:val="0044270C"/>
    <w:rsid w:val="00444799"/>
    <w:rsid w:val="004449C6"/>
    <w:rsid w:val="00452215"/>
    <w:rsid w:val="00453624"/>
    <w:rsid w:val="0045484B"/>
    <w:rsid w:val="004636C3"/>
    <w:rsid w:val="004756BB"/>
    <w:rsid w:val="004902BA"/>
    <w:rsid w:val="004A2903"/>
    <w:rsid w:val="004A3388"/>
    <w:rsid w:val="004B6291"/>
    <w:rsid w:val="004C34D5"/>
    <w:rsid w:val="004C40A0"/>
    <w:rsid w:val="004C7696"/>
    <w:rsid w:val="004D0A2D"/>
    <w:rsid w:val="004D107E"/>
    <w:rsid w:val="004E58D7"/>
    <w:rsid w:val="004E6E24"/>
    <w:rsid w:val="004F1230"/>
    <w:rsid w:val="004F2ED5"/>
    <w:rsid w:val="005069BB"/>
    <w:rsid w:val="00521AE2"/>
    <w:rsid w:val="00534CFD"/>
    <w:rsid w:val="005575E6"/>
    <w:rsid w:val="00563C21"/>
    <w:rsid w:val="00563FBB"/>
    <w:rsid w:val="0057178E"/>
    <w:rsid w:val="005828DB"/>
    <w:rsid w:val="0058524D"/>
    <w:rsid w:val="005925A1"/>
    <w:rsid w:val="00595DE2"/>
    <w:rsid w:val="005A123E"/>
    <w:rsid w:val="005A189C"/>
    <w:rsid w:val="005A18F1"/>
    <w:rsid w:val="005A2ADE"/>
    <w:rsid w:val="005A2D12"/>
    <w:rsid w:val="005B5142"/>
    <w:rsid w:val="005B7017"/>
    <w:rsid w:val="005C1272"/>
    <w:rsid w:val="005C1CA4"/>
    <w:rsid w:val="005C5629"/>
    <w:rsid w:val="005E3207"/>
    <w:rsid w:val="005E36FE"/>
    <w:rsid w:val="005E6E1C"/>
    <w:rsid w:val="005F50E9"/>
    <w:rsid w:val="00600BF2"/>
    <w:rsid w:val="00602F32"/>
    <w:rsid w:val="00614E84"/>
    <w:rsid w:val="00617626"/>
    <w:rsid w:val="006321F3"/>
    <w:rsid w:val="00635D36"/>
    <w:rsid w:val="00651DCF"/>
    <w:rsid w:val="0065621E"/>
    <w:rsid w:val="00665578"/>
    <w:rsid w:val="0066760D"/>
    <w:rsid w:val="00672FD0"/>
    <w:rsid w:val="00696A2D"/>
    <w:rsid w:val="006A4C29"/>
    <w:rsid w:val="006A74C2"/>
    <w:rsid w:val="006C3BD1"/>
    <w:rsid w:val="006D2923"/>
    <w:rsid w:val="006D306C"/>
    <w:rsid w:val="006D3374"/>
    <w:rsid w:val="006E7365"/>
    <w:rsid w:val="006F33AA"/>
    <w:rsid w:val="006F3B12"/>
    <w:rsid w:val="006F619D"/>
    <w:rsid w:val="006F6918"/>
    <w:rsid w:val="0071272D"/>
    <w:rsid w:val="00716E55"/>
    <w:rsid w:val="0072168D"/>
    <w:rsid w:val="007415F8"/>
    <w:rsid w:val="0074560E"/>
    <w:rsid w:val="00747406"/>
    <w:rsid w:val="0075188F"/>
    <w:rsid w:val="007546D4"/>
    <w:rsid w:val="00755513"/>
    <w:rsid w:val="0076281C"/>
    <w:rsid w:val="00765EDF"/>
    <w:rsid w:val="0076644C"/>
    <w:rsid w:val="00770D48"/>
    <w:rsid w:val="00782BCD"/>
    <w:rsid w:val="007B0A47"/>
    <w:rsid w:val="007B2348"/>
    <w:rsid w:val="007B4CD5"/>
    <w:rsid w:val="007C16A9"/>
    <w:rsid w:val="007C55F6"/>
    <w:rsid w:val="007D594A"/>
    <w:rsid w:val="007E6101"/>
    <w:rsid w:val="0080094C"/>
    <w:rsid w:val="00811C3A"/>
    <w:rsid w:val="00821CD2"/>
    <w:rsid w:val="0083510A"/>
    <w:rsid w:val="00867352"/>
    <w:rsid w:val="0087534E"/>
    <w:rsid w:val="00875858"/>
    <w:rsid w:val="00876842"/>
    <w:rsid w:val="00884591"/>
    <w:rsid w:val="00884739"/>
    <w:rsid w:val="008B101E"/>
    <w:rsid w:val="008B2CF7"/>
    <w:rsid w:val="008B45D5"/>
    <w:rsid w:val="008C2FB5"/>
    <w:rsid w:val="008E278C"/>
    <w:rsid w:val="008E6DF5"/>
    <w:rsid w:val="008F1F3B"/>
    <w:rsid w:val="008F6892"/>
    <w:rsid w:val="008F7912"/>
    <w:rsid w:val="009073E8"/>
    <w:rsid w:val="00920328"/>
    <w:rsid w:val="00925EA6"/>
    <w:rsid w:val="00936961"/>
    <w:rsid w:val="0093781B"/>
    <w:rsid w:val="00942A87"/>
    <w:rsid w:val="009463D0"/>
    <w:rsid w:val="009549E7"/>
    <w:rsid w:val="009573D9"/>
    <w:rsid w:val="00960189"/>
    <w:rsid w:val="00972E39"/>
    <w:rsid w:val="009734F7"/>
    <w:rsid w:val="009841CD"/>
    <w:rsid w:val="009A3E41"/>
    <w:rsid w:val="009A7F25"/>
    <w:rsid w:val="009B0655"/>
    <w:rsid w:val="009E6677"/>
    <w:rsid w:val="009F2D1D"/>
    <w:rsid w:val="00A02E33"/>
    <w:rsid w:val="00A030A7"/>
    <w:rsid w:val="00A20E56"/>
    <w:rsid w:val="00A2671E"/>
    <w:rsid w:val="00A26969"/>
    <w:rsid w:val="00A569E2"/>
    <w:rsid w:val="00A629FB"/>
    <w:rsid w:val="00A64E35"/>
    <w:rsid w:val="00A72B43"/>
    <w:rsid w:val="00A73824"/>
    <w:rsid w:val="00A73AD9"/>
    <w:rsid w:val="00A759F8"/>
    <w:rsid w:val="00A85C00"/>
    <w:rsid w:val="00A86D66"/>
    <w:rsid w:val="00A911F0"/>
    <w:rsid w:val="00A97A00"/>
    <w:rsid w:val="00AB08F9"/>
    <w:rsid w:val="00AB352B"/>
    <w:rsid w:val="00AC60D6"/>
    <w:rsid w:val="00AD2AF8"/>
    <w:rsid w:val="00AD2D87"/>
    <w:rsid w:val="00AD61B2"/>
    <w:rsid w:val="00AE1DCE"/>
    <w:rsid w:val="00AE26F1"/>
    <w:rsid w:val="00B01717"/>
    <w:rsid w:val="00B15E05"/>
    <w:rsid w:val="00B26183"/>
    <w:rsid w:val="00B326DF"/>
    <w:rsid w:val="00B44CE6"/>
    <w:rsid w:val="00B46B6D"/>
    <w:rsid w:val="00B47DCB"/>
    <w:rsid w:val="00B515BC"/>
    <w:rsid w:val="00B611DA"/>
    <w:rsid w:val="00B67908"/>
    <w:rsid w:val="00B75420"/>
    <w:rsid w:val="00B83C5C"/>
    <w:rsid w:val="00B9141C"/>
    <w:rsid w:val="00BB7B8A"/>
    <w:rsid w:val="00BC1F6E"/>
    <w:rsid w:val="00BC2320"/>
    <w:rsid w:val="00BD04A2"/>
    <w:rsid w:val="00BD262A"/>
    <w:rsid w:val="00BD5524"/>
    <w:rsid w:val="00BE28F3"/>
    <w:rsid w:val="00BE73ED"/>
    <w:rsid w:val="00BE7BE0"/>
    <w:rsid w:val="00BF35B7"/>
    <w:rsid w:val="00BF69A5"/>
    <w:rsid w:val="00C0472E"/>
    <w:rsid w:val="00C04C16"/>
    <w:rsid w:val="00C274DF"/>
    <w:rsid w:val="00C27EBF"/>
    <w:rsid w:val="00C421BE"/>
    <w:rsid w:val="00C53144"/>
    <w:rsid w:val="00C66EB6"/>
    <w:rsid w:val="00C73775"/>
    <w:rsid w:val="00CA6C7A"/>
    <w:rsid w:val="00CA776C"/>
    <w:rsid w:val="00CB2802"/>
    <w:rsid w:val="00CC7CB8"/>
    <w:rsid w:val="00CE3810"/>
    <w:rsid w:val="00CE43D1"/>
    <w:rsid w:val="00CF1B3B"/>
    <w:rsid w:val="00CF34B3"/>
    <w:rsid w:val="00CF78C6"/>
    <w:rsid w:val="00D039DE"/>
    <w:rsid w:val="00D06ED8"/>
    <w:rsid w:val="00D14862"/>
    <w:rsid w:val="00D156F2"/>
    <w:rsid w:val="00D15EEB"/>
    <w:rsid w:val="00D217FB"/>
    <w:rsid w:val="00D223B3"/>
    <w:rsid w:val="00D30C6F"/>
    <w:rsid w:val="00D34892"/>
    <w:rsid w:val="00D404E2"/>
    <w:rsid w:val="00D567A4"/>
    <w:rsid w:val="00D5741B"/>
    <w:rsid w:val="00D63A77"/>
    <w:rsid w:val="00D651CC"/>
    <w:rsid w:val="00D710E8"/>
    <w:rsid w:val="00D71878"/>
    <w:rsid w:val="00D90517"/>
    <w:rsid w:val="00DA5216"/>
    <w:rsid w:val="00DB0365"/>
    <w:rsid w:val="00DB1447"/>
    <w:rsid w:val="00DB46C4"/>
    <w:rsid w:val="00DB47BA"/>
    <w:rsid w:val="00DC1928"/>
    <w:rsid w:val="00DD20E3"/>
    <w:rsid w:val="00DD2DA5"/>
    <w:rsid w:val="00DE0F22"/>
    <w:rsid w:val="00DE57C0"/>
    <w:rsid w:val="00E03888"/>
    <w:rsid w:val="00E15B18"/>
    <w:rsid w:val="00E22A45"/>
    <w:rsid w:val="00E351E8"/>
    <w:rsid w:val="00E448C7"/>
    <w:rsid w:val="00E57111"/>
    <w:rsid w:val="00E663D4"/>
    <w:rsid w:val="00E66F0C"/>
    <w:rsid w:val="00E76656"/>
    <w:rsid w:val="00E82B31"/>
    <w:rsid w:val="00E879BD"/>
    <w:rsid w:val="00E9162E"/>
    <w:rsid w:val="00E92B17"/>
    <w:rsid w:val="00EA0314"/>
    <w:rsid w:val="00EA4769"/>
    <w:rsid w:val="00EB37BC"/>
    <w:rsid w:val="00EC0D83"/>
    <w:rsid w:val="00EC65D4"/>
    <w:rsid w:val="00EE4D73"/>
    <w:rsid w:val="00F04368"/>
    <w:rsid w:val="00F05F08"/>
    <w:rsid w:val="00F12A33"/>
    <w:rsid w:val="00F149B4"/>
    <w:rsid w:val="00F247A1"/>
    <w:rsid w:val="00F27615"/>
    <w:rsid w:val="00F27B21"/>
    <w:rsid w:val="00F320BB"/>
    <w:rsid w:val="00F46576"/>
    <w:rsid w:val="00F51ABC"/>
    <w:rsid w:val="00F543E7"/>
    <w:rsid w:val="00F60CE7"/>
    <w:rsid w:val="00F924C6"/>
    <w:rsid w:val="00FA28AC"/>
    <w:rsid w:val="00FB5212"/>
    <w:rsid w:val="00FD2489"/>
    <w:rsid w:val="00FD32DC"/>
    <w:rsid w:val="00FD5E5C"/>
    <w:rsid w:val="00FE1E0B"/>
    <w:rsid w:val="00FE46B2"/>
    <w:rsid w:val="00FE57BA"/>
    <w:rsid w:val="00FE7731"/>
    <w:rsid w:val="00FF1419"/>
    <w:rsid w:val="00FF1E7D"/>
    <w:rsid w:val="00FF4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855A3E"/>
  <w15:docId w15:val="{31BA3E98-DEC5-4DDE-80AB-F644B04FC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3207"/>
    <w:pPr>
      <w:spacing w:after="480" w:line="360" w:lineRule="auto"/>
    </w:pPr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C2320"/>
    <w:pPr>
      <w:keepNext/>
      <w:keepLines/>
      <w:spacing w:after="0"/>
      <w:outlineLvl w:val="0"/>
    </w:pPr>
    <w:rPr>
      <w:rFonts w:eastAsiaTheme="majorEastAsia" w:cstheme="majorBidi"/>
      <w:color w:val="000000" w:themeColor="text1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449C6"/>
    <w:pPr>
      <w:keepNext/>
      <w:keepLines/>
      <w:spacing w:after="0" w:line="240" w:lineRule="auto"/>
      <w:ind w:left="4536"/>
      <w:outlineLvl w:val="1"/>
    </w:pPr>
    <w:rPr>
      <w:rFonts w:eastAsiaTheme="majorEastAsia" w:cstheme="majorBidi"/>
      <w:color w:val="000000" w:themeColor="text1"/>
      <w:szCs w:val="26"/>
    </w:rPr>
  </w:style>
  <w:style w:type="paragraph" w:styleId="Nagwek3">
    <w:name w:val="heading 3"/>
    <w:aliases w:val="Nagłówek 2 - Stopka"/>
    <w:basedOn w:val="Normalny"/>
    <w:next w:val="Normalny"/>
    <w:link w:val="Nagwek3Znak"/>
    <w:uiPriority w:val="9"/>
    <w:semiHidden/>
    <w:unhideWhenUsed/>
    <w:qFormat/>
    <w:rsid w:val="00A64E35"/>
    <w:pPr>
      <w:keepNext/>
      <w:keepLines/>
      <w:outlineLvl w:val="2"/>
    </w:pPr>
    <w:rPr>
      <w:rFonts w:eastAsiaTheme="majorEastAsia" w:cstheme="majorBidi"/>
      <w:sz w:val="20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31F2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A1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123E"/>
  </w:style>
  <w:style w:type="paragraph" w:styleId="Stopka">
    <w:name w:val="footer"/>
    <w:basedOn w:val="Normalny"/>
    <w:link w:val="StopkaZnak"/>
    <w:unhideWhenUsed/>
    <w:rsid w:val="00CA776C"/>
    <w:pPr>
      <w:tabs>
        <w:tab w:val="center" w:pos="4536"/>
        <w:tab w:val="right" w:pos="9072"/>
      </w:tabs>
      <w:spacing w:after="0" w:line="240" w:lineRule="auto"/>
    </w:pPr>
    <w:rPr>
      <w:color w:val="000000" w:themeColor="text1"/>
      <w:sz w:val="22"/>
    </w:rPr>
  </w:style>
  <w:style w:type="character" w:customStyle="1" w:styleId="StopkaZnak">
    <w:name w:val="Stopka Znak"/>
    <w:basedOn w:val="Domylnaczcionkaakapitu"/>
    <w:link w:val="Stopka"/>
    <w:rsid w:val="00CA776C"/>
    <w:rPr>
      <w:rFonts w:ascii="Arial" w:hAnsi="Arial"/>
      <w:color w:val="000000" w:themeColor="text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A12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123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755513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6331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6331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6331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33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63317"/>
    <w:rPr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F1230"/>
    <w:rPr>
      <w:color w:val="605E5C"/>
      <w:shd w:val="clear" w:color="auto" w:fill="E1DFDD"/>
    </w:rPr>
  </w:style>
  <w:style w:type="paragraph" w:styleId="Tytu">
    <w:name w:val="Title"/>
    <w:basedOn w:val="Normalny"/>
    <w:next w:val="Normalny"/>
    <w:link w:val="TytuZnak"/>
    <w:uiPriority w:val="10"/>
    <w:qFormat/>
    <w:rsid w:val="0006440D"/>
    <w:pPr>
      <w:spacing w:after="0" w:line="240" w:lineRule="auto"/>
      <w:contextualSpacing/>
    </w:pPr>
    <w:rPr>
      <w:rFonts w:eastAsiaTheme="majorEastAsia" w:cstheme="majorBidi"/>
      <w:b/>
      <w:color w:val="000000" w:themeColor="text1"/>
      <w:kern w:val="24"/>
      <w:szCs w:val="56"/>
      <w14:numSpacing w14:val="proportional"/>
    </w:rPr>
  </w:style>
  <w:style w:type="character" w:customStyle="1" w:styleId="TytuZnak">
    <w:name w:val="Tytuł Znak"/>
    <w:basedOn w:val="Domylnaczcionkaakapitu"/>
    <w:link w:val="Tytu"/>
    <w:uiPriority w:val="10"/>
    <w:rsid w:val="0006440D"/>
    <w:rPr>
      <w:rFonts w:ascii="Arial" w:eastAsiaTheme="majorEastAsia" w:hAnsi="Arial" w:cstheme="majorBidi"/>
      <w:b/>
      <w:color w:val="000000" w:themeColor="text1"/>
      <w:kern w:val="24"/>
      <w:szCs w:val="56"/>
      <w14:numSpacing w14:val="proportional"/>
    </w:rPr>
  </w:style>
  <w:style w:type="character" w:customStyle="1" w:styleId="Nagwek1Znak">
    <w:name w:val="Nagłówek 1 Znak"/>
    <w:basedOn w:val="Domylnaczcionkaakapitu"/>
    <w:link w:val="Nagwek1"/>
    <w:uiPriority w:val="9"/>
    <w:rsid w:val="00BC2320"/>
    <w:rPr>
      <w:rFonts w:ascii="Arial" w:eastAsiaTheme="majorEastAsia" w:hAnsi="Arial" w:cstheme="majorBidi"/>
      <w:color w:val="000000" w:themeColor="text1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4449C6"/>
    <w:rPr>
      <w:rFonts w:ascii="Arial" w:eastAsiaTheme="majorEastAsia" w:hAnsi="Arial" w:cstheme="majorBidi"/>
      <w:color w:val="000000" w:themeColor="text1"/>
      <w:sz w:val="24"/>
      <w:szCs w:val="26"/>
    </w:rPr>
  </w:style>
  <w:style w:type="character" w:customStyle="1" w:styleId="Nagwek3Znak">
    <w:name w:val="Nagłówek 3 Znak"/>
    <w:aliases w:val="Nagłówek 2 - Stopka Znak"/>
    <w:basedOn w:val="Domylnaczcionkaakapitu"/>
    <w:link w:val="Nagwek3"/>
    <w:uiPriority w:val="9"/>
    <w:semiHidden/>
    <w:rsid w:val="00A64E35"/>
    <w:rPr>
      <w:rFonts w:ascii="Arial" w:eastAsiaTheme="majorEastAsia" w:hAnsi="Arial" w:cstheme="majorBidi"/>
      <w:sz w:val="20"/>
      <w:szCs w:val="24"/>
    </w:rPr>
  </w:style>
  <w:style w:type="paragraph" w:customStyle="1" w:styleId="xmsonormal">
    <w:name w:val="x_msonormal"/>
    <w:basedOn w:val="Normalny"/>
    <w:rsid w:val="00667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Bezodstpw">
    <w:name w:val="No Spacing"/>
    <w:aliases w:val="Normalny - Informacje dodatkowe"/>
    <w:link w:val="BezodstpwZnak"/>
    <w:uiPriority w:val="1"/>
    <w:qFormat/>
    <w:rsid w:val="004449C6"/>
    <w:pPr>
      <w:spacing w:before="220" w:after="220"/>
    </w:pPr>
    <w:rPr>
      <w:rFonts w:ascii="Arial" w:hAnsi="Arial"/>
      <w:color w:val="000000" w:themeColor="text1"/>
    </w:rPr>
  </w:style>
  <w:style w:type="paragraph" w:customStyle="1" w:styleId="Normalny-Adresat">
    <w:name w:val="Normalny - Adresat"/>
    <w:basedOn w:val="Bezodstpw"/>
    <w:link w:val="Normalny-AdresatZnak"/>
    <w:qFormat/>
    <w:rsid w:val="00BC2320"/>
    <w:pPr>
      <w:spacing w:before="720" w:after="480" w:line="360" w:lineRule="auto"/>
      <w:ind w:left="5103"/>
    </w:pPr>
    <w:rPr>
      <w:b/>
      <w:sz w:val="24"/>
    </w:rPr>
  </w:style>
  <w:style w:type="character" w:customStyle="1" w:styleId="BezodstpwZnak">
    <w:name w:val="Bez odstępów Znak"/>
    <w:aliases w:val="Normalny - Informacje dodatkowe Znak"/>
    <w:basedOn w:val="Domylnaczcionkaakapitu"/>
    <w:link w:val="Bezodstpw"/>
    <w:uiPriority w:val="1"/>
    <w:rsid w:val="004449C6"/>
    <w:rPr>
      <w:rFonts w:ascii="Arial" w:hAnsi="Arial"/>
      <w:color w:val="000000" w:themeColor="text1"/>
    </w:rPr>
  </w:style>
  <w:style w:type="character" w:customStyle="1" w:styleId="Normalny-AdresatZnak">
    <w:name w:val="Normalny - Adresat Znak"/>
    <w:basedOn w:val="BezodstpwZnak"/>
    <w:link w:val="Normalny-Adresat"/>
    <w:rsid w:val="00BC2320"/>
    <w:rPr>
      <w:rFonts w:ascii="Arial" w:hAnsi="Arial"/>
      <w:b/>
      <w:color w:val="000000" w:themeColor="text1"/>
      <w:sz w:val="24"/>
    </w:rPr>
  </w:style>
  <w:style w:type="paragraph" w:customStyle="1" w:styleId="Normalny-Nadawca">
    <w:name w:val="Normalny - Nadawca"/>
    <w:basedOn w:val="Normalny-Adresat"/>
    <w:qFormat/>
    <w:rsid w:val="001203E3"/>
    <w:rPr>
      <w:b w:val="0"/>
    </w:rPr>
  </w:style>
  <w:style w:type="paragraph" w:customStyle="1" w:styleId="Normalny-Nagwek-Informacjedodatkowe">
    <w:name w:val="Normalny - Nagłówek - Informacje dodatkowe"/>
    <w:basedOn w:val="Bezodstpw"/>
    <w:link w:val="Normalny-Nagwek-InformacjedodatkoweZnak"/>
    <w:qFormat/>
    <w:rsid w:val="005E3207"/>
    <w:pPr>
      <w:spacing w:before="440" w:after="0"/>
    </w:pPr>
  </w:style>
  <w:style w:type="character" w:customStyle="1" w:styleId="Normalny-Nagwek-InformacjedodatkoweZnak">
    <w:name w:val="Normalny - Nagłówek - Informacje dodatkowe Znak"/>
    <w:basedOn w:val="BezodstpwZnak"/>
    <w:link w:val="Normalny-Nagwek-Informacjedodatkowe"/>
    <w:rsid w:val="005E3207"/>
    <w:rPr>
      <w:rFonts w:ascii="Arial" w:hAnsi="Arial"/>
      <w:color w:val="000000" w:themeColor="text1"/>
    </w:rPr>
  </w:style>
  <w:style w:type="paragraph" w:customStyle="1" w:styleId="Normalny-Znaksprawy">
    <w:name w:val="Normalny - Znak sprawy"/>
    <w:basedOn w:val="Normalny"/>
    <w:link w:val="Normalny-ZnaksprawyZnak"/>
    <w:qFormat/>
    <w:rsid w:val="005E3207"/>
    <w:pPr>
      <w:spacing w:after="0"/>
    </w:pPr>
    <w:rPr>
      <w:rFonts w:cs="Arial"/>
      <w:szCs w:val="24"/>
    </w:rPr>
  </w:style>
  <w:style w:type="paragraph" w:customStyle="1" w:styleId="Normalny-Data">
    <w:name w:val="Normalny - Data"/>
    <w:basedOn w:val="Normalny"/>
    <w:link w:val="Normalny-DataZnak"/>
    <w:qFormat/>
    <w:rsid w:val="0026074C"/>
    <w:pPr>
      <w:tabs>
        <w:tab w:val="center" w:pos="4536"/>
        <w:tab w:val="right" w:pos="9072"/>
      </w:tabs>
      <w:spacing w:after="0" w:line="240" w:lineRule="auto"/>
      <w:ind w:left="5330"/>
      <w:jc w:val="right"/>
    </w:pPr>
  </w:style>
  <w:style w:type="character" w:customStyle="1" w:styleId="Normalny-ZnaksprawyZnak">
    <w:name w:val="Normalny - Znak sprawy Znak"/>
    <w:basedOn w:val="Domylnaczcionkaakapitu"/>
    <w:link w:val="Normalny-Znaksprawy"/>
    <w:rsid w:val="005E3207"/>
    <w:rPr>
      <w:rFonts w:ascii="Arial" w:hAnsi="Arial" w:cs="Arial"/>
      <w:sz w:val="24"/>
      <w:szCs w:val="24"/>
    </w:rPr>
  </w:style>
  <w:style w:type="character" w:customStyle="1" w:styleId="Normalny-DataZnak">
    <w:name w:val="Normalny - Data Znak"/>
    <w:basedOn w:val="Domylnaczcionkaakapitu"/>
    <w:link w:val="Normalny-Data"/>
    <w:rsid w:val="0026074C"/>
    <w:rPr>
      <w:rFonts w:ascii="Arial" w:hAnsi="Arial"/>
      <w:sz w:val="24"/>
    </w:rPr>
  </w:style>
  <w:style w:type="paragraph" w:customStyle="1" w:styleId="Normalny-Znaksprawy2">
    <w:name w:val="Normalny - Znak sprawy 2"/>
    <w:basedOn w:val="Normalny-Data"/>
    <w:link w:val="Normalny-Znaksprawy2Znak"/>
    <w:qFormat/>
    <w:rsid w:val="0026074C"/>
    <w:pPr>
      <w:spacing w:before="240"/>
      <w:ind w:left="5812"/>
      <w:jc w:val="left"/>
    </w:pPr>
  </w:style>
  <w:style w:type="character" w:customStyle="1" w:styleId="Normalny-Znaksprawy2Znak">
    <w:name w:val="Normalny - Znak sprawy 2 Znak"/>
    <w:basedOn w:val="Normalny-DataZnak"/>
    <w:link w:val="Normalny-Znaksprawy2"/>
    <w:rsid w:val="0026074C"/>
    <w:rPr>
      <w:rFonts w:ascii="Arial" w:hAnsi="Arial"/>
      <w:sz w:val="24"/>
    </w:rPr>
  </w:style>
  <w:style w:type="character" w:styleId="Numerstrony">
    <w:name w:val="page number"/>
    <w:basedOn w:val="Domylnaczcionkaakapitu"/>
    <w:rsid w:val="009549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3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4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30E79F-069C-4514-A51A-474106484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1748</Words>
  <Characters>10494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Blankiet korespondencji oficjalnej - Marszałek Województwa Podkarpackiego Władysław Ortyl</vt:lpstr>
    </vt:vector>
  </TitlesOfParts>
  <Company/>
  <LinksUpToDate>false</LinksUpToDate>
  <CharactersWithSpaces>12218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Blankiet korespondencji oficjalnej - Marszałek Województwa Podkarpackiego Władysław Ortyl</dc:title>
  <dc:subject/>
  <dc:creator>S.Kieszkowski@podkarpackie.pl</dc:creator>
  <cp:keywords/>
  <dc:description/>
  <cp:lastModifiedBy>Grocholski Ireneusz</cp:lastModifiedBy>
  <cp:revision>2</cp:revision>
  <cp:lastPrinted>2026-05-05T11:18:00Z</cp:lastPrinted>
  <dcterms:created xsi:type="dcterms:W3CDTF">2026-05-07T10:37:00Z</dcterms:created>
  <dcterms:modified xsi:type="dcterms:W3CDTF">2026-05-07T10:37:00Z</dcterms:modified>
</cp:coreProperties>
</file>